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05" w:type="dxa"/>
        <w:tblLayout w:type="fixed"/>
        <w:tblLook w:val="06A0" w:firstRow="1" w:lastRow="0" w:firstColumn="1" w:lastColumn="0" w:noHBand="1" w:noVBand="1"/>
      </w:tblPr>
      <w:tblGrid>
        <w:gridCol w:w="805"/>
        <w:gridCol w:w="900"/>
        <w:gridCol w:w="653"/>
        <w:gridCol w:w="1350"/>
        <w:gridCol w:w="1170"/>
        <w:gridCol w:w="877"/>
        <w:gridCol w:w="720"/>
        <w:gridCol w:w="720"/>
        <w:gridCol w:w="563"/>
        <w:gridCol w:w="1057"/>
        <w:gridCol w:w="990"/>
        <w:gridCol w:w="1530"/>
        <w:gridCol w:w="1080"/>
        <w:gridCol w:w="1890"/>
      </w:tblGrid>
      <w:tr w:rsidR="009B2594" w:rsidRPr="00347955" w14:paraId="279CB62D" w14:textId="77777777" w:rsidTr="0074052C">
        <w:trPr>
          <w:trHeight w:val="300"/>
        </w:trPr>
        <w:tc>
          <w:tcPr>
            <w:tcW w:w="14305" w:type="dxa"/>
            <w:gridSpan w:val="14"/>
          </w:tcPr>
          <w:p w14:paraId="327EB189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sz w:val="12"/>
                <w:szCs w:val="12"/>
              </w:rPr>
              <w:t>Appendix A</w:t>
            </w:r>
          </w:p>
          <w:p w14:paraId="416DAD43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Extracorporeal Shockwave Treatment for Proximal Hamstring Tendinopathy: Manuscript Details, Treatment Parameters and Patient Positioning </w:t>
            </w:r>
          </w:p>
        </w:tc>
      </w:tr>
      <w:tr w:rsidR="009B2594" w:rsidRPr="00347955" w14:paraId="72DBA31F" w14:textId="77777777" w:rsidTr="0074052C">
        <w:trPr>
          <w:trHeight w:val="300"/>
        </w:trPr>
        <w:tc>
          <w:tcPr>
            <w:tcW w:w="805" w:type="dxa"/>
          </w:tcPr>
          <w:p w14:paraId="42059B83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>Author</w:t>
            </w:r>
          </w:p>
        </w:tc>
        <w:tc>
          <w:tcPr>
            <w:tcW w:w="900" w:type="dxa"/>
          </w:tcPr>
          <w:p w14:paraId="6C2BCF26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>Study Design</w:t>
            </w:r>
          </w:p>
        </w:tc>
        <w:tc>
          <w:tcPr>
            <w:tcW w:w="653" w:type="dxa"/>
          </w:tcPr>
          <w:p w14:paraId="67B6C77C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>Number Subjects</w:t>
            </w:r>
          </w:p>
        </w:tc>
        <w:tc>
          <w:tcPr>
            <w:tcW w:w="1350" w:type="dxa"/>
          </w:tcPr>
          <w:p w14:paraId="6A0FC26D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Diagnostic Criteria</w:t>
            </w:r>
          </w:p>
        </w:tc>
        <w:tc>
          <w:tcPr>
            <w:tcW w:w="1170" w:type="dxa"/>
          </w:tcPr>
          <w:p w14:paraId="79A2BC64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  <w:vertAlign w:val="superscript"/>
              </w:rPr>
            </w:pPr>
            <w:r w:rsidRPr="00347955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RPW or FSW</w:t>
            </w:r>
          </w:p>
        </w:tc>
        <w:tc>
          <w:tcPr>
            <w:tcW w:w="877" w:type="dxa"/>
          </w:tcPr>
          <w:p w14:paraId="73223EA3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>Comparator</w:t>
            </w:r>
          </w:p>
        </w:tc>
        <w:tc>
          <w:tcPr>
            <w:tcW w:w="720" w:type="dxa"/>
          </w:tcPr>
          <w:p w14:paraId="03C9EC3A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Number </w:t>
            </w:r>
            <w:r w:rsidRPr="00347955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Impulses</w:t>
            </w:r>
          </w:p>
        </w:tc>
        <w:tc>
          <w:tcPr>
            <w:tcW w:w="720" w:type="dxa"/>
          </w:tcPr>
          <w:p w14:paraId="74782E08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>EFD</w:t>
            </w:r>
          </w:p>
        </w:tc>
        <w:tc>
          <w:tcPr>
            <w:tcW w:w="563" w:type="dxa"/>
          </w:tcPr>
          <w:p w14:paraId="418AD541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  <w:t>MHz</w:t>
            </w:r>
          </w:p>
        </w:tc>
        <w:tc>
          <w:tcPr>
            <w:tcW w:w="1057" w:type="dxa"/>
          </w:tcPr>
          <w:p w14:paraId="0623EB1E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Number Sessions and frequency </w:t>
            </w:r>
          </w:p>
        </w:tc>
        <w:tc>
          <w:tcPr>
            <w:tcW w:w="990" w:type="dxa"/>
          </w:tcPr>
          <w:p w14:paraId="2AFFA2D6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>Patient Position</w:t>
            </w:r>
          </w:p>
        </w:tc>
        <w:tc>
          <w:tcPr>
            <w:tcW w:w="1530" w:type="dxa"/>
          </w:tcPr>
          <w:p w14:paraId="2C16A36A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 xml:space="preserve">Post Treatment Guidelines </w:t>
            </w:r>
          </w:p>
        </w:tc>
        <w:tc>
          <w:tcPr>
            <w:tcW w:w="1080" w:type="dxa"/>
          </w:tcPr>
          <w:p w14:paraId="7B87F1C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>Primary Outcome Measure</w:t>
            </w:r>
          </w:p>
        </w:tc>
        <w:tc>
          <w:tcPr>
            <w:tcW w:w="1890" w:type="dxa"/>
          </w:tcPr>
          <w:p w14:paraId="295311B9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b/>
                <w:sz w:val="12"/>
                <w:szCs w:val="12"/>
              </w:rPr>
            </w:pPr>
            <w:r w:rsidRPr="00347955">
              <w:rPr>
                <w:rFonts w:ascii="Times New Roman" w:hAnsi="Times New Roman" w:cs="Times New Roman"/>
                <w:b/>
                <w:sz w:val="12"/>
                <w:szCs w:val="12"/>
              </w:rPr>
              <w:t>Results</w:t>
            </w:r>
          </w:p>
        </w:tc>
      </w:tr>
      <w:tr w:rsidR="009B2594" w:rsidRPr="00347955" w14:paraId="761ECB06" w14:textId="77777777" w:rsidTr="0074052C">
        <w:trPr>
          <w:trHeight w:val="300"/>
        </w:trPr>
        <w:tc>
          <w:tcPr>
            <w:tcW w:w="805" w:type="dxa"/>
          </w:tcPr>
          <w:p w14:paraId="6F0DCFF3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Cacchio et al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.</w:t>
            </w:r>
          </w:p>
        </w:tc>
        <w:tc>
          <w:tcPr>
            <w:tcW w:w="900" w:type="dxa"/>
          </w:tcPr>
          <w:p w14:paraId="7FEF887F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Randomized controlled trial </w:t>
            </w:r>
          </w:p>
        </w:tc>
        <w:tc>
          <w:tcPr>
            <w:tcW w:w="653" w:type="dxa"/>
          </w:tcPr>
          <w:p w14:paraId="23546DA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40</w:t>
            </w:r>
          </w:p>
        </w:tc>
        <w:tc>
          <w:tcPr>
            <w:tcW w:w="1350" w:type="dxa"/>
          </w:tcPr>
          <w:p w14:paraId="78FF1001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E84E8F">
              <w:rPr>
                <w:rFonts w:ascii="Times New Roman" w:hAnsi="Times New Roman" w:cs="Times New Roman"/>
                <w:sz w:val="11"/>
                <w:szCs w:val="11"/>
              </w:rPr>
              <w:t>2 out of 3 positive tests (Puranen-Orava test, fast hamstring-stretch test, and hamstring strength test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 xml:space="preserve">), </w:t>
            </w:r>
            <w:r w:rsidRPr="00E84E8F">
              <w:rPr>
                <w:rFonts w:ascii="Times New Roman" w:hAnsi="Times New Roman" w:cs="Times New Roman"/>
                <w:sz w:val="11"/>
                <w:szCs w:val="11"/>
              </w:rPr>
              <w:t>VAS pain score of greater than or equal to 4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 xml:space="preserve">, </w:t>
            </w:r>
            <w:r w:rsidRPr="00E84E8F">
              <w:rPr>
                <w:rFonts w:ascii="Times New Roman" w:hAnsi="Times New Roman" w:cs="Times New Roman"/>
                <w:sz w:val="11"/>
                <w:szCs w:val="11"/>
              </w:rPr>
              <w:t>MRI’s showing grade 2 or 3 tendinopathy</w:t>
            </w:r>
          </w:p>
        </w:tc>
        <w:tc>
          <w:tcPr>
            <w:tcW w:w="1170" w:type="dxa"/>
          </w:tcPr>
          <w:p w14:paraId="6C15F7FD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Radial,</w:t>
            </w:r>
          </w:p>
          <w:p w14:paraId="21D787E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(EMS Swiss </w:t>
            </w:r>
            <w:proofErr w:type="spellStart"/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Dolorclast</w:t>
            </w:r>
            <w:proofErr w:type="spellEnd"/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, Milano, Italy)</w:t>
            </w:r>
          </w:p>
        </w:tc>
        <w:tc>
          <w:tcPr>
            <w:tcW w:w="877" w:type="dxa"/>
          </w:tcPr>
          <w:p w14:paraId="64850DB8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Traditional conservative treatment</w:t>
            </w:r>
          </w:p>
        </w:tc>
        <w:tc>
          <w:tcPr>
            <w:tcW w:w="720" w:type="dxa"/>
          </w:tcPr>
          <w:p w14:paraId="5F6C2827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2500</w:t>
            </w:r>
          </w:p>
        </w:tc>
        <w:tc>
          <w:tcPr>
            <w:tcW w:w="720" w:type="dxa"/>
          </w:tcPr>
          <w:p w14:paraId="534D57FA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4 bar pressure</w:t>
            </w:r>
          </w:p>
        </w:tc>
        <w:tc>
          <w:tcPr>
            <w:tcW w:w="563" w:type="dxa"/>
          </w:tcPr>
          <w:p w14:paraId="5934FCAB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10</w:t>
            </w:r>
          </w:p>
        </w:tc>
        <w:tc>
          <w:tcPr>
            <w:tcW w:w="1057" w:type="dxa"/>
          </w:tcPr>
          <w:p w14:paraId="60CE06B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4 </w:t>
            </w:r>
            <w:proofErr w:type="gramStart"/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weekly</w:t>
            </w:r>
            <w:proofErr w:type="gramEnd"/>
          </w:p>
        </w:tc>
        <w:tc>
          <w:tcPr>
            <w:tcW w:w="990" w:type="dxa"/>
          </w:tcPr>
          <w:p w14:paraId="5AE43EBF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Supine position with the</w:t>
            </w:r>
          </w:p>
          <w:p w14:paraId="0147FBEF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hip flexed and the knee bent at 90</w:t>
            </w:r>
          </w:p>
        </w:tc>
        <w:tc>
          <w:tcPr>
            <w:tcW w:w="1530" w:type="dxa"/>
          </w:tcPr>
          <w:p w14:paraId="4198AB6F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Ice as needed, avoid activities that increase pain</w:t>
            </w:r>
          </w:p>
        </w:tc>
        <w:tc>
          <w:tcPr>
            <w:tcW w:w="1080" w:type="dxa"/>
          </w:tcPr>
          <w:p w14:paraId="18F5903A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VAS, NPRS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 xml:space="preserve">, </w:t>
            </w: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obtained at baseline, 1 week, 3, 6 and 12 months </w:t>
            </w:r>
          </w:p>
        </w:tc>
        <w:tc>
          <w:tcPr>
            <w:tcW w:w="1890" w:type="dxa"/>
          </w:tcPr>
          <w:p w14:paraId="1FAACA47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Significant improvement in VAS and NPRS noted in shockwave group compared to traditional conservative treatment three months post treatment. </w:t>
            </w:r>
          </w:p>
        </w:tc>
      </w:tr>
      <w:tr w:rsidR="009B2594" w:rsidRPr="00347955" w14:paraId="10B58FA1" w14:textId="77777777" w:rsidTr="0074052C">
        <w:trPr>
          <w:trHeight w:val="300"/>
        </w:trPr>
        <w:tc>
          <w:tcPr>
            <w:tcW w:w="805" w:type="dxa"/>
          </w:tcPr>
          <w:p w14:paraId="165F9F17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Rich et al.</w:t>
            </w:r>
          </w:p>
        </w:tc>
        <w:tc>
          <w:tcPr>
            <w:tcW w:w="900" w:type="dxa"/>
          </w:tcPr>
          <w:p w14:paraId="6D66FD36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Randomized controlled trial</w:t>
            </w:r>
          </w:p>
        </w:tc>
        <w:tc>
          <w:tcPr>
            <w:tcW w:w="653" w:type="dxa"/>
          </w:tcPr>
          <w:p w14:paraId="230CE1E0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100</w:t>
            </w:r>
          </w:p>
        </w:tc>
        <w:tc>
          <w:tcPr>
            <w:tcW w:w="1350" w:type="dxa"/>
          </w:tcPr>
          <w:p w14:paraId="40421F5F" w14:textId="77777777" w:rsidR="009B2594" w:rsidRPr="00E84E8F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F67BD7">
              <w:rPr>
                <w:rFonts w:ascii="Times New Roman" w:hAnsi="Times New Roman" w:cs="Times New Roman"/>
                <w:sz w:val="11"/>
                <w:szCs w:val="11"/>
              </w:rPr>
              <w:t>3 month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s</w:t>
            </w:r>
            <w:r w:rsidRPr="00F67BD7">
              <w:rPr>
                <w:rFonts w:ascii="Times New Roman" w:hAnsi="Times New Roman" w:cs="Times New Roman"/>
                <w:sz w:val="11"/>
                <w:szCs w:val="11"/>
              </w:rPr>
              <w:t xml:space="preserve"> or greater history of localized lower buttock pain with history of increased tendon load prior to the onset of symptoms and pain with at least 3 of 4 loading compression tests</w:t>
            </w:r>
          </w:p>
        </w:tc>
        <w:tc>
          <w:tcPr>
            <w:tcW w:w="1170" w:type="dxa"/>
          </w:tcPr>
          <w:p w14:paraId="43BA66EA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 xml:space="preserve">Radial and </w:t>
            </w:r>
            <w:proofErr w:type="spellStart"/>
            <w:r>
              <w:rPr>
                <w:rFonts w:ascii="Times New Roman" w:hAnsi="Times New Roman" w:cs="Times New Roman"/>
                <w:sz w:val="11"/>
                <w:szCs w:val="11"/>
              </w:rPr>
              <w:t>semifocused</w:t>
            </w:r>
            <w:proofErr w:type="spellEnd"/>
          </w:p>
        </w:tc>
        <w:tc>
          <w:tcPr>
            <w:tcW w:w="877" w:type="dxa"/>
          </w:tcPr>
          <w:p w14:paraId="610AEBF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Individualized physiotherapy</w:t>
            </w:r>
          </w:p>
        </w:tc>
        <w:tc>
          <w:tcPr>
            <w:tcW w:w="720" w:type="dxa"/>
          </w:tcPr>
          <w:p w14:paraId="7B0B04BF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2000</w:t>
            </w:r>
          </w:p>
        </w:tc>
        <w:tc>
          <w:tcPr>
            <w:tcW w:w="720" w:type="dxa"/>
          </w:tcPr>
          <w:p w14:paraId="70C1FF0E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Not recorded</w:t>
            </w:r>
          </w:p>
        </w:tc>
        <w:tc>
          <w:tcPr>
            <w:tcW w:w="563" w:type="dxa"/>
          </w:tcPr>
          <w:p w14:paraId="5D62BD09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Not recorded</w:t>
            </w:r>
          </w:p>
        </w:tc>
        <w:tc>
          <w:tcPr>
            <w:tcW w:w="1057" w:type="dxa"/>
          </w:tcPr>
          <w:p w14:paraId="2FFAF356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 xml:space="preserve">4 </w:t>
            </w:r>
            <w:proofErr w:type="gramStart"/>
            <w:r>
              <w:rPr>
                <w:rFonts w:ascii="Times New Roman" w:hAnsi="Times New Roman" w:cs="Times New Roman"/>
                <w:sz w:val="11"/>
                <w:szCs w:val="11"/>
              </w:rPr>
              <w:t>weekly</w:t>
            </w:r>
            <w:proofErr w:type="gramEnd"/>
          </w:p>
        </w:tc>
        <w:tc>
          <w:tcPr>
            <w:tcW w:w="990" w:type="dxa"/>
          </w:tcPr>
          <w:p w14:paraId="495607C1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Not recorded</w:t>
            </w:r>
          </w:p>
        </w:tc>
        <w:tc>
          <w:tcPr>
            <w:tcW w:w="1530" w:type="dxa"/>
          </w:tcPr>
          <w:p w14:paraId="047444F8" w14:textId="77777777" w:rsidR="009B2594" w:rsidRPr="002E66B0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P</w:t>
            </w:r>
            <w:r w:rsidRPr="002E66B0">
              <w:rPr>
                <w:rFonts w:ascii="Times New Roman" w:hAnsi="Times New Roman" w:cs="Times New Roman"/>
                <w:sz w:val="11"/>
                <w:szCs w:val="11"/>
              </w:rPr>
              <w:t xml:space="preserve">atient education 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material provided, patients able</w:t>
            </w:r>
            <w:r w:rsidRPr="002E66B0">
              <w:rPr>
                <w:rFonts w:ascii="Times New Roman" w:hAnsi="Times New Roman" w:cs="Times New Roman"/>
                <w:sz w:val="11"/>
                <w:szCs w:val="11"/>
              </w:rPr>
              <w:t xml:space="preserve"> to continue normal activities, including exercise allowing for 4/10 pain with pain up to 2/10 in the 12-24 hours following</w:t>
            </w:r>
          </w:p>
          <w:p w14:paraId="7B868700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080" w:type="dxa"/>
          </w:tcPr>
          <w:p w14:paraId="72F611F1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G</w:t>
            </w:r>
            <w:r w:rsidRPr="0032460F">
              <w:rPr>
                <w:rFonts w:ascii="Times New Roman" w:hAnsi="Times New Roman" w:cs="Times New Roman"/>
                <w:sz w:val="11"/>
                <w:szCs w:val="11"/>
              </w:rPr>
              <w:t>lobal rating of change on a 7-point Likert scale and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 xml:space="preserve"> </w:t>
            </w:r>
            <w:r w:rsidRPr="0032460F">
              <w:rPr>
                <w:rFonts w:ascii="Times New Roman" w:hAnsi="Times New Roman" w:cs="Times New Roman"/>
                <w:sz w:val="11"/>
                <w:szCs w:val="11"/>
              </w:rPr>
              <w:t xml:space="preserve">VISA-H 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 xml:space="preserve">collected </w:t>
            </w:r>
            <w:r w:rsidRPr="0032460F">
              <w:rPr>
                <w:rFonts w:ascii="Times New Roman" w:hAnsi="Times New Roman" w:cs="Times New Roman"/>
                <w:sz w:val="11"/>
                <w:szCs w:val="11"/>
              </w:rPr>
              <w:t>at baseline, 4, 12, 26, and 52 weeks</w:t>
            </w:r>
          </w:p>
        </w:tc>
        <w:tc>
          <w:tcPr>
            <w:tcW w:w="1890" w:type="dxa"/>
          </w:tcPr>
          <w:p w14:paraId="651B4FFF" w14:textId="77777777" w:rsidR="009B2594" w:rsidRPr="0032460F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N</w:t>
            </w:r>
            <w:r w:rsidRPr="0032460F">
              <w:rPr>
                <w:rFonts w:ascii="Times New Roman" w:hAnsi="Times New Roman" w:cs="Times New Roman"/>
                <w:sz w:val="11"/>
                <w:szCs w:val="11"/>
              </w:rPr>
              <w:t>o significant differences noted between the shockwave group and physiotherapy group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 xml:space="preserve">. </w:t>
            </w:r>
            <w:r w:rsidRPr="0032460F">
              <w:rPr>
                <w:rFonts w:ascii="Times New Roman" w:hAnsi="Times New Roman" w:cs="Times New Roman"/>
                <w:sz w:val="11"/>
                <w:szCs w:val="11"/>
              </w:rPr>
              <w:t xml:space="preserve">In secondary outcome measures, shockwave group had a higher satisfaction with treatment at 26 weeks and high satisfaction with the results of treatment at 4 and 26 weeks.  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S</w:t>
            </w:r>
            <w:r w:rsidRPr="0032460F">
              <w:rPr>
                <w:rFonts w:ascii="Times New Roman" w:hAnsi="Times New Roman" w:cs="Times New Roman"/>
                <w:sz w:val="11"/>
                <w:szCs w:val="11"/>
              </w:rPr>
              <w:t>hockwave patients self-rated adherence was significantly higher for all time intervals.</w:t>
            </w:r>
          </w:p>
          <w:p w14:paraId="63D8D6CE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9B2594" w:rsidRPr="00347955" w14:paraId="6B1E9840" w14:textId="77777777" w:rsidTr="0074052C">
        <w:trPr>
          <w:trHeight w:val="300"/>
        </w:trPr>
        <w:tc>
          <w:tcPr>
            <w:tcW w:w="805" w:type="dxa"/>
          </w:tcPr>
          <w:p w14:paraId="2053D17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proofErr w:type="spellStart"/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Mitchkash</w:t>
            </w:r>
            <w:proofErr w:type="spellEnd"/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 et al</w:t>
            </w:r>
          </w:p>
        </w:tc>
        <w:tc>
          <w:tcPr>
            <w:tcW w:w="900" w:type="dxa"/>
          </w:tcPr>
          <w:p w14:paraId="4A97314C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Retrospective Review, large case cohort</w:t>
            </w:r>
          </w:p>
        </w:tc>
        <w:tc>
          <w:tcPr>
            <w:tcW w:w="653" w:type="dxa"/>
          </w:tcPr>
          <w:p w14:paraId="254B0881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32</w:t>
            </w:r>
          </w:p>
        </w:tc>
        <w:tc>
          <w:tcPr>
            <w:tcW w:w="1350" w:type="dxa"/>
          </w:tcPr>
          <w:p w14:paraId="4A91F2D0" w14:textId="77777777" w:rsidR="009B2594" w:rsidRPr="00E84E8F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 xml:space="preserve">Runners with </w:t>
            </w:r>
            <w:r w:rsidRPr="00E84E8F">
              <w:rPr>
                <w:rFonts w:ascii="Times New Roman" w:hAnsi="Times New Roman" w:cs="Times New Roman"/>
                <w:sz w:val="11"/>
                <w:szCs w:val="11"/>
              </w:rPr>
              <w:t>symptoms interfering with normal or typical training and inability to compete for greater than 7 days</w:t>
            </w:r>
          </w:p>
          <w:p w14:paraId="5C1CE702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70" w:type="dxa"/>
          </w:tcPr>
          <w:p w14:paraId="5BD72293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Radial, </w:t>
            </w:r>
          </w:p>
          <w:p w14:paraId="67563BFD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(Storz Extracorporeal pulse activation technology EPAT, Storz Medical, Switzerland)</w:t>
            </w:r>
          </w:p>
        </w:tc>
        <w:tc>
          <w:tcPr>
            <w:tcW w:w="877" w:type="dxa"/>
          </w:tcPr>
          <w:p w14:paraId="724849E6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none</w:t>
            </w:r>
          </w:p>
        </w:tc>
        <w:tc>
          <w:tcPr>
            <w:tcW w:w="720" w:type="dxa"/>
          </w:tcPr>
          <w:p w14:paraId="5A47F97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Not recorded</w:t>
            </w:r>
          </w:p>
        </w:tc>
        <w:tc>
          <w:tcPr>
            <w:tcW w:w="720" w:type="dxa"/>
          </w:tcPr>
          <w:p w14:paraId="1639F5EB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2-5 bar</w:t>
            </w:r>
          </w:p>
        </w:tc>
        <w:tc>
          <w:tcPr>
            <w:tcW w:w="563" w:type="dxa"/>
          </w:tcPr>
          <w:p w14:paraId="489BE7E0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12-15</w:t>
            </w:r>
          </w:p>
        </w:tc>
        <w:tc>
          <w:tcPr>
            <w:tcW w:w="1057" w:type="dxa"/>
          </w:tcPr>
          <w:p w14:paraId="201B5C5C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4 weekly or greater</w:t>
            </w:r>
          </w:p>
        </w:tc>
        <w:tc>
          <w:tcPr>
            <w:tcW w:w="990" w:type="dxa"/>
          </w:tcPr>
          <w:p w14:paraId="54B3030C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Not recorded</w:t>
            </w:r>
          </w:p>
        </w:tc>
        <w:tc>
          <w:tcPr>
            <w:tcW w:w="1530" w:type="dxa"/>
          </w:tcPr>
          <w:p w14:paraId="7288C417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Avoid ice and NSAIDS, PT</w:t>
            </w:r>
            <w:r w:rsidRPr="00347955">
              <w:rPr>
                <w:rFonts w:ascii="Times New Roman" w:hAnsi="Times New Roman" w:cs="Times New Roman"/>
                <w:sz w:val="11"/>
                <w:szCs w:val="11"/>
                <w:vertAlign w:val="superscript"/>
              </w:rPr>
              <w:t xml:space="preserve"> </w:t>
            </w: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and home exercise</w:t>
            </w:r>
          </w:p>
        </w:tc>
        <w:tc>
          <w:tcPr>
            <w:tcW w:w="1080" w:type="dxa"/>
          </w:tcPr>
          <w:p w14:paraId="03D7934E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VISA-H</w:t>
            </w:r>
          </w:p>
        </w:tc>
        <w:tc>
          <w:tcPr>
            <w:tcW w:w="1890" w:type="dxa"/>
          </w:tcPr>
          <w:p w14:paraId="003ACEDD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69% of runners with clinically significant improvement in symptoms</w:t>
            </w:r>
          </w:p>
        </w:tc>
      </w:tr>
      <w:tr w:rsidR="009B2594" w:rsidRPr="00347955" w14:paraId="62EBBC66" w14:textId="77777777" w:rsidTr="0074052C">
        <w:trPr>
          <w:trHeight w:val="300"/>
        </w:trPr>
        <w:tc>
          <w:tcPr>
            <w:tcW w:w="805" w:type="dxa"/>
          </w:tcPr>
          <w:p w14:paraId="0FC3B049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Yun et al</w:t>
            </w:r>
          </w:p>
        </w:tc>
        <w:tc>
          <w:tcPr>
            <w:tcW w:w="900" w:type="dxa"/>
          </w:tcPr>
          <w:p w14:paraId="614EAAEC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Retrospective review</w:t>
            </w:r>
          </w:p>
        </w:tc>
        <w:tc>
          <w:tcPr>
            <w:tcW w:w="653" w:type="dxa"/>
          </w:tcPr>
          <w:p w14:paraId="220007BD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63; 40 radial and 23 combined radial and focused</w:t>
            </w:r>
          </w:p>
        </w:tc>
        <w:tc>
          <w:tcPr>
            <w:tcW w:w="1350" w:type="dxa"/>
          </w:tcPr>
          <w:p w14:paraId="763595A1" w14:textId="77777777" w:rsidR="009B2594" w:rsidRPr="00C256E6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H</w:t>
            </w:r>
            <w:r w:rsidRPr="00C256E6">
              <w:rPr>
                <w:rFonts w:ascii="Times New Roman" w:hAnsi="Times New Roman" w:cs="Times New Roman"/>
                <w:sz w:val="11"/>
                <w:szCs w:val="11"/>
              </w:rPr>
              <w:t>istory and physical examination</w:t>
            </w:r>
          </w:p>
          <w:p w14:paraId="00BA35A2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70" w:type="dxa"/>
          </w:tcPr>
          <w:p w14:paraId="02A829CC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Radial, </w:t>
            </w:r>
          </w:p>
          <w:p w14:paraId="08583574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(Storz Extracorporeal pulse activation technology EPAT, Storz Medical, Switzerland)</w:t>
            </w:r>
          </w:p>
        </w:tc>
        <w:tc>
          <w:tcPr>
            <w:tcW w:w="877" w:type="dxa"/>
          </w:tcPr>
          <w:p w14:paraId="3B0766E9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Combined radial and focused, (Storz </w:t>
            </w:r>
            <w:proofErr w:type="spellStart"/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Duolith</w:t>
            </w:r>
            <w:proofErr w:type="spellEnd"/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 device, Storz Medical Switzerland)</w:t>
            </w:r>
          </w:p>
        </w:tc>
        <w:tc>
          <w:tcPr>
            <w:tcW w:w="720" w:type="dxa"/>
          </w:tcPr>
          <w:p w14:paraId="2603D9F3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Radial 3000 impulses. Focused 1000 minimum impulses</w:t>
            </w:r>
          </w:p>
        </w:tc>
        <w:tc>
          <w:tcPr>
            <w:tcW w:w="720" w:type="dxa"/>
          </w:tcPr>
          <w:p w14:paraId="7CCD0FD2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Radial 2.5-5 bar, Focused 0.12-0.5 mJmm2</w:t>
            </w:r>
          </w:p>
        </w:tc>
        <w:tc>
          <w:tcPr>
            <w:tcW w:w="563" w:type="dxa"/>
          </w:tcPr>
          <w:p w14:paraId="61E4F59B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15</w:t>
            </w:r>
          </w:p>
        </w:tc>
        <w:tc>
          <w:tcPr>
            <w:tcW w:w="1057" w:type="dxa"/>
          </w:tcPr>
          <w:p w14:paraId="27AF20FD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4 weekly or greater</w:t>
            </w:r>
          </w:p>
        </w:tc>
        <w:tc>
          <w:tcPr>
            <w:tcW w:w="990" w:type="dxa"/>
          </w:tcPr>
          <w:p w14:paraId="0491500C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Not recorded</w:t>
            </w:r>
          </w:p>
        </w:tc>
        <w:tc>
          <w:tcPr>
            <w:tcW w:w="1530" w:type="dxa"/>
          </w:tcPr>
          <w:p w14:paraId="55B8906F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Avoid ice and NSAIDS, three days of rest after combine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d</w:t>
            </w: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 treatment followed by exercise as tolerated, PT and home exercise program</w:t>
            </w:r>
          </w:p>
        </w:tc>
        <w:tc>
          <w:tcPr>
            <w:tcW w:w="1080" w:type="dxa"/>
          </w:tcPr>
          <w:p w14:paraId="2489D562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VISA-H</w:t>
            </w:r>
          </w:p>
        </w:tc>
        <w:tc>
          <w:tcPr>
            <w:tcW w:w="1890" w:type="dxa"/>
          </w:tcPr>
          <w:p w14:paraId="56CBC906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significant improvement in both groups, 63% of patients who received radial and 57% of patients who received combined focused and radial</w:t>
            </w:r>
          </w:p>
        </w:tc>
      </w:tr>
      <w:tr w:rsidR="009B2594" w:rsidRPr="00347955" w14:paraId="0C64BC5F" w14:textId="77777777" w:rsidTr="0074052C">
        <w:trPr>
          <w:trHeight w:val="300"/>
        </w:trPr>
        <w:tc>
          <w:tcPr>
            <w:tcW w:w="805" w:type="dxa"/>
          </w:tcPr>
          <w:p w14:paraId="08A7915D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lastRenderedPageBreak/>
              <w:t>Reilly</w:t>
            </w:r>
          </w:p>
        </w:tc>
        <w:tc>
          <w:tcPr>
            <w:tcW w:w="900" w:type="dxa"/>
          </w:tcPr>
          <w:p w14:paraId="1F805D60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Case report</w:t>
            </w:r>
          </w:p>
        </w:tc>
        <w:tc>
          <w:tcPr>
            <w:tcW w:w="653" w:type="dxa"/>
          </w:tcPr>
          <w:p w14:paraId="1A8AF562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1350" w:type="dxa"/>
          </w:tcPr>
          <w:p w14:paraId="5FF46B58" w14:textId="77777777" w:rsidR="009B2594" w:rsidRPr="00C256E6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H</w:t>
            </w:r>
            <w:r w:rsidRPr="00C256E6">
              <w:rPr>
                <w:rFonts w:ascii="Times New Roman" w:hAnsi="Times New Roman" w:cs="Times New Roman"/>
                <w:sz w:val="11"/>
                <w:szCs w:val="11"/>
              </w:rPr>
              <w:t>istory and physical examination</w:t>
            </w:r>
          </w:p>
          <w:p w14:paraId="3EC6F86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70" w:type="dxa"/>
          </w:tcPr>
          <w:p w14:paraId="723403F8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Radial,</w:t>
            </w:r>
          </w:p>
          <w:p w14:paraId="508933A9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Specific device not mentioned</w:t>
            </w:r>
          </w:p>
        </w:tc>
        <w:tc>
          <w:tcPr>
            <w:tcW w:w="877" w:type="dxa"/>
          </w:tcPr>
          <w:p w14:paraId="3A8FA9E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NA</w:t>
            </w:r>
          </w:p>
        </w:tc>
        <w:tc>
          <w:tcPr>
            <w:tcW w:w="720" w:type="dxa"/>
          </w:tcPr>
          <w:p w14:paraId="34758551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3000</w:t>
            </w:r>
          </w:p>
        </w:tc>
        <w:tc>
          <w:tcPr>
            <w:tcW w:w="720" w:type="dxa"/>
          </w:tcPr>
          <w:p w14:paraId="1B884713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4.5 bar</w:t>
            </w:r>
          </w:p>
        </w:tc>
        <w:tc>
          <w:tcPr>
            <w:tcW w:w="563" w:type="dxa"/>
          </w:tcPr>
          <w:p w14:paraId="561B64CA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15</w:t>
            </w:r>
          </w:p>
        </w:tc>
        <w:tc>
          <w:tcPr>
            <w:tcW w:w="1057" w:type="dxa"/>
          </w:tcPr>
          <w:p w14:paraId="73F67EC2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5 </w:t>
            </w:r>
            <w:proofErr w:type="gramStart"/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weekly</w:t>
            </w:r>
            <w:proofErr w:type="gramEnd"/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 </w:t>
            </w:r>
          </w:p>
        </w:tc>
        <w:tc>
          <w:tcPr>
            <w:tcW w:w="990" w:type="dxa"/>
          </w:tcPr>
          <w:p w14:paraId="5269CF76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Not recorded</w:t>
            </w:r>
          </w:p>
        </w:tc>
        <w:tc>
          <w:tcPr>
            <w:tcW w:w="1530" w:type="dxa"/>
          </w:tcPr>
          <w:p w14:paraId="4048CCCA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Avoiding NSAIDS, minimizing ice, PT</w:t>
            </w:r>
          </w:p>
        </w:tc>
        <w:tc>
          <w:tcPr>
            <w:tcW w:w="1080" w:type="dxa"/>
          </w:tcPr>
          <w:p w14:paraId="43E542F1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Pain and function </w:t>
            </w:r>
          </w:p>
        </w:tc>
        <w:tc>
          <w:tcPr>
            <w:tcW w:w="1890" w:type="dxa"/>
          </w:tcPr>
          <w:p w14:paraId="4D45DE0F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Reduced pain and full return to running at 10 months </w:t>
            </w:r>
          </w:p>
        </w:tc>
      </w:tr>
      <w:tr w:rsidR="009B2594" w:rsidRPr="00347955" w14:paraId="264134D1" w14:textId="77777777" w:rsidTr="0074052C">
        <w:trPr>
          <w:trHeight w:val="300"/>
        </w:trPr>
        <w:tc>
          <w:tcPr>
            <w:tcW w:w="805" w:type="dxa"/>
          </w:tcPr>
          <w:p w14:paraId="0F9B309A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Hayano</w:t>
            </w:r>
          </w:p>
        </w:tc>
        <w:tc>
          <w:tcPr>
            <w:tcW w:w="900" w:type="dxa"/>
          </w:tcPr>
          <w:p w14:paraId="4FA43E3D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Case report</w:t>
            </w:r>
          </w:p>
        </w:tc>
        <w:tc>
          <w:tcPr>
            <w:tcW w:w="653" w:type="dxa"/>
          </w:tcPr>
          <w:p w14:paraId="6AF49023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1350" w:type="dxa"/>
          </w:tcPr>
          <w:p w14:paraId="434A70B9" w14:textId="77777777" w:rsidR="009B2594" w:rsidRPr="00C256E6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H</w:t>
            </w:r>
            <w:r w:rsidRPr="00C256E6">
              <w:rPr>
                <w:rFonts w:ascii="Times New Roman" w:hAnsi="Times New Roman" w:cs="Times New Roman"/>
                <w:sz w:val="11"/>
                <w:szCs w:val="11"/>
              </w:rPr>
              <w:t>istory and physical examination</w:t>
            </w:r>
          </w:p>
          <w:p w14:paraId="19D3332A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70" w:type="dxa"/>
          </w:tcPr>
          <w:p w14:paraId="565E9072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Radial,</w:t>
            </w:r>
          </w:p>
          <w:p w14:paraId="04D85C7B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Specific device not mentioned</w:t>
            </w:r>
          </w:p>
        </w:tc>
        <w:tc>
          <w:tcPr>
            <w:tcW w:w="877" w:type="dxa"/>
          </w:tcPr>
          <w:p w14:paraId="7B607FD8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NA</w:t>
            </w:r>
          </w:p>
        </w:tc>
        <w:tc>
          <w:tcPr>
            <w:tcW w:w="720" w:type="dxa"/>
          </w:tcPr>
          <w:p w14:paraId="4015854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3000</w:t>
            </w:r>
          </w:p>
        </w:tc>
        <w:tc>
          <w:tcPr>
            <w:tcW w:w="720" w:type="dxa"/>
          </w:tcPr>
          <w:p w14:paraId="14A66F07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4-4.5 bar</w:t>
            </w:r>
          </w:p>
        </w:tc>
        <w:tc>
          <w:tcPr>
            <w:tcW w:w="563" w:type="dxa"/>
          </w:tcPr>
          <w:p w14:paraId="4FFE138B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15</w:t>
            </w:r>
          </w:p>
        </w:tc>
        <w:tc>
          <w:tcPr>
            <w:tcW w:w="1057" w:type="dxa"/>
          </w:tcPr>
          <w:p w14:paraId="61409795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4 weekly followed by treatment as needed; 15 treatments given over 24 weeks</w:t>
            </w:r>
          </w:p>
        </w:tc>
        <w:tc>
          <w:tcPr>
            <w:tcW w:w="990" w:type="dxa"/>
          </w:tcPr>
          <w:p w14:paraId="0604120A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Prone as pictured in manuscript</w:t>
            </w:r>
          </w:p>
        </w:tc>
        <w:tc>
          <w:tcPr>
            <w:tcW w:w="1530" w:type="dxa"/>
          </w:tcPr>
          <w:p w14:paraId="6534B41D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>PT</w:t>
            </w:r>
          </w:p>
        </w:tc>
        <w:tc>
          <w:tcPr>
            <w:tcW w:w="1080" w:type="dxa"/>
          </w:tcPr>
          <w:p w14:paraId="31EEBC5D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Pain and function </w:t>
            </w:r>
          </w:p>
        </w:tc>
        <w:tc>
          <w:tcPr>
            <w:tcW w:w="1890" w:type="dxa"/>
          </w:tcPr>
          <w:p w14:paraId="2EBD10FB" w14:textId="77777777" w:rsidR="009B2594" w:rsidRPr="00347955" w:rsidRDefault="009B2594" w:rsidP="0074052C">
            <w:pPr>
              <w:spacing w:line="36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347955">
              <w:rPr>
                <w:rFonts w:ascii="Times New Roman" w:hAnsi="Times New Roman" w:cs="Times New Roman"/>
                <w:sz w:val="11"/>
                <w:szCs w:val="11"/>
              </w:rPr>
              <w:t xml:space="preserve">Reduced pain and increased swimming performance </w:t>
            </w:r>
          </w:p>
        </w:tc>
      </w:tr>
    </w:tbl>
    <w:p w14:paraId="69F71A70" w14:textId="77777777" w:rsidR="009B2594" w:rsidRPr="002F2C77" w:rsidRDefault="009B2594" w:rsidP="009B2594">
      <w:pPr>
        <w:spacing w:after="0" w:line="360" w:lineRule="auto"/>
        <w:rPr>
          <w:rFonts w:cstheme="minorHAnsi"/>
          <w:sz w:val="24"/>
          <w:szCs w:val="24"/>
        </w:rPr>
      </w:pPr>
      <w:r w:rsidRPr="00347955">
        <w:rPr>
          <w:rFonts w:ascii="Times New Roman" w:hAnsi="Times New Roman" w:cs="Times New Roman"/>
          <w:sz w:val="11"/>
          <w:szCs w:val="11"/>
        </w:rPr>
        <w:t>R</w:t>
      </w:r>
      <w:r>
        <w:rPr>
          <w:rFonts w:ascii="Times New Roman" w:hAnsi="Times New Roman" w:cs="Times New Roman"/>
          <w:sz w:val="11"/>
          <w:szCs w:val="11"/>
        </w:rPr>
        <w:t>PW= R</w:t>
      </w:r>
      <w:r w:rsidRPr="00347955">
        <w:rPr>
          <w:rFonts w:ascii="Times New Roman" w:hAnsi="Times New Roman" w:cs="Times New Roman"/>
          <w:sz w:val="11"/>
          <w:szCs w:val="11"/>
        </w:rPr>
        <w:t xml:space="preserve">adial Pressure Wave, </w:t>
      </w:r>
      <w:r>
        <w:rPr>
          <w:rFonts w:ascii="Times New Roman" w:hAnsi="Times New Roman" w:cs="Times New Roman"/>
          <w:sz w:val="11"/>
          <w:szCs w:val="11"/>
        </w:rPr>
        <w:t xml:space="preserve">FSW= </w:t>
      </w:r>
      <w:r w:rsidRPr="00347955">
        <w:rPr>
          <w:rFonts w:ascii="Times New Roman" w:hAnsi="Times New Roman" w:cs="Times New Roman"/>
          <w:sz w:val="11"/>
          <w:szCs w:val="11"/>
        </w:rPr>
        <w:t>Focused Shockwave; E</w:t>
      </w:r>
      <w:r>
        <w:rPr>
          <w:rFonts w:ascii="Times New Roman" w:hAnsi="Times New Roman" w:cs="Times New Roman"/>
          <w:sz w:val="11"/>
          <w:szCs w:val="11"/>
        </w:rPr>
        <w:t>FD= E</w:t>
      </w:r>
      <w:r w:rsidRPr="00347955">
        <w:rPr>
          <w:rFonts w:ascii="Times New Roman" w:hAnsi="Times New Roman" w:cs="Times New Roman"/>
          <w:sz w:val="11"/>
          <w:szCs w:val="11"/>
        </w:rPr>
        <w:t xml:space="preserve">nergy flux density; </w:t>
      </w:r>
      <w:r>
        <w:rPr>
          <w:rFonts w:ascii="Times New Roman" w:hAnsi="Times New Roman" w:cs="Times New Roman"/>
          <w:sz w:val="11"/>
          <w:szCs w:val="11"/>
        </w:rPr>
        <w:t>MHz= H</w:t>
      </w:r>
      <w:r w:rsidRPr="00347955">
        <w:rPr>
          <w:rFonts w:ascii="Times New Roman" w:hAnsi="Times New Roman" w:cs="Times New Roman"/>
          <w:sz w:val="11"/>
          <w:szCs w:val="11"/>
        </w:rPr>
        <w:t>ertz; V</w:t>
      </w:r>
      <w:r>
        <w:rPr>
          <w:rFonts w:ascii="Times New Roman" w:hAnsi="Times New Roman" w:cs="Times New Roman"/>
          <w:sz w:val="11"/>
          <w:szCs w:val="11"/>
        </w:rPr>
        <w:t>AS= V</w:t>
      </w:r>
      <w:r w:rsidRPr="00347955">
        <w:rPr>
          <w:rFonts w:ascii="Times New Roman" w:hAnsi="Times New Roman" w:cs="Times New Roman"/>
          <w:sz w:val="11"/>
          <w:szCs w:val="11"/>
        </w:rPr>
        <w:t>isual analog scale, N</w:t>
      </w:r>
      <w:r>
        <w:rPr>
          <w:rFonts w:ascii="Times New Roman" w:hAnsi="Times New Roman" w:cs="Times New Roman"/>
          <w:sz w:val="11"/>
          <w:szCs w:val="11"/>
        </w:rPr>
        <w:t>PRS= N</w:t>
      </w:r>
      <w:r w:rsidRPr="00347955">
        <w:rPr>
          <w:rFonts w:ascii="Times New Roman" w:hAnsi="Times New Roman" w:cs="Times New Roman"/>
          <w:sz w:val="11"/>
          <w:szCs w:val="11"/>
        </w:rPr>
        <w:t>irschl phase rating scale; N</w:t>
      </w:r>
      <w:r>
        <w:rPr>
          <w:rFonts w:ascii="Times New Roman" w:hAnsi="Times New Roman" w:cs="Times New Roman"/>
          <w:sz w:val="11"/>
          <w:szCs w:val="11"/>
        </w:rPr>
        <w:t>SAIDS= N</w:t>
      </w:r>
      <w:r w:rsidRPr="00347955">
        <w:rPr>
          <w:rFonts w:ascii="Times New Roman" w:hAnsi="Times New Roman" w:cs="Times New Roman"/>
          <w:sz w:val="11"/>
          <w:szCs w:val="11"/>
        </w:rPr>
        <w:t>onsteroidal anti-inflammatory drugs; P</w:t>
      </w:r>
      <w:r>
        <w:rPr>
          <w:rFonts w:ascii="Times New Roman" w:hAnsi="Times New Roman" w:cs="Times New Roman"/>
          <w:sz w:val="11"/>
          <w:szCs w:val="11"/>
        </w:rPr>
        <w:t>T= P</w:t>
      </w:r>
      <w:r w:rsidRPr="00347955">
        <w:rPr>
          <w:rFonts w:ascii="Times New Roman" w:hAnsi="Times New Roman" w:cs="Times New Roman"/>
          <w:sz w:val="11"/>
          <w:szCs w:val="11"/>
        </w:rPr>
        <w:t>hysical therapy; V</w:t>
      </w:r>
      <w:r>
        <w:rPr>
          <w:rFonts w:ascii="Times New Roman" w:hAnsi="Times New Roman" w:cs="Times New Roman"/>
          <w:sz w:val="11"/>
          <w:szCs w:val="11"/>
        </w:rPr>
        <w:t>ISA-H= V</w:t>
      </w:r>
      <w:r w:rsidRPr="00347955">
        <w:rPr>
          <w:rFonts w:ascii="Times New Roman" w:hAnsi="Times New Roman" w:cs="Times New Roman"/>
          <w:sz w:val="11"/>
          <w:szCs w:val="11"/>
        </w:rPr>
        <w:t>ictorian Institute of Sports Assessment Scale for Proximal Hamstring Tendinopat</w:t>
      </w:r>
      <w:r>
        <w:rPr>
          <w:rFonts w:ascii="Times New Roman" w:hAnsi="Times New Roman" w:cs="Times New Roman"/>
          <w:sz w:val="11"/>
          <w:szCs w:val="11"/>
        </w:rPr>
        <w:t>hy</w:t>
      </w:r>
    </w:p>
    <w:p w14:paraId="4297E201" w14:textId="77777777" w:rsidR="00D22FC2" w:rsidRDefault="00D22FC2"/>
    <w:sectPr w:rsidR="00D22FC2" w:rsidSect="009B259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594"/>
    <w:rsid w:val="001303D2"/>
    <w:rsid w:val="001756E7"/>
    <w:rsid w:val="00967B68"/>
    <w:rsid w:val="009B2594"/>
    <w:rsid w:val="00D2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0E0644"/>
  <w15:chartTrackingRefBased/>
  <w15:docId w15:val="{DC784C17-F76E-344F-A9E3-EA221511C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594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259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259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259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259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259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259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259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259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259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25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25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25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25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25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25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25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25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25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25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25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259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25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2594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B25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2594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9B25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25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25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259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9B2594"/>
    <w:pPr>
      <w:spacing w:after="0" w:line="240" w:lineRule="auto"/>
    </w:pPr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606</Words>
  <Characters>3376</Characters>
  <Application>Microsoft Office Word</Application>
  <DocSecurity>0</DocSecurity>
  <Lines>281</Lines>
  <Paragraphs>132</Paragraphs>
  <ScaleCrop>false</ScaleCrop>
  <Company/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</cp:revision>
  <dcterms:created xsi:type="dcterms:W3CDTF">2026-02-25T19:14:00Z</dcterms:created>
  <dcterms:modified xsi:type="dcterms:W3CDTF">2026-02-25T19:14:00Z</dcterms:modified>
</cp:coreProperties>
</file>