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3" w:type="dxa"/>
        <w:tblLook w:val="04A0" w:firstRow="1" w:lastRow="0" w:firstColumn="1" w:lastColumn="0" w:noHBand="0" w:noVBand="1"/>
      </w:tblPr>
      <w:tblGrid>
        <w:gridCol w:w="892"/>
        <w:gridCol w:w="1980"/>
        <w:gridCol w:w="99"/>
        <w:gridCol w:w="2961"/>
        <w:gridCol w:w="99"/>
        <w:gridCol w:w="815"/>
        <w:gridCol w:w="99"/>
        <w:gridCol w:w="3141"/>
        <w:gridCol w:w="17"/>
      </w:tblGrid>
      <w:tr w:rsidR="00E47BF3" w:rsidRPr="00717348" w14:paraId="0A5BB2B6" w14:textId="77777777" w:rsidTr="00021371">
        <w:trPr>
          <w:gridAfter w:val="1"/>
          <w:wAfter w:w="99" w:type="dxa"/>
          <w:trHeight w:val="320"/>
        </w:trPr>
        <w:tc>
          <w:tcPr>
            <w:tcW w:w="100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3316B" w14:textId="14481314" w:rsidR="00E47BF3" w:rsidRPr="00717348" w:rsidRDefault="00CB0049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b/>
                <w:bCs/>
              </w:rPr>
              <w:t xml:space="preserve">Appendix </w:t>
            </w:r>
            <w:r w:rsidRPr="00EB32E8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A</w:t>
            </w:r>
            <w:r w:rsidRPr="00EB32E8">
              <w:rPr>
                <w:b/>
                <w:bCs/>
              </w:rPr>
              <w:t>:</w:t>
            </w:r>
            <w:r>
              <w:t xml:space="preserve"> Clinical and MRI Findings in Symptomatic Shoulder Subgroup (N=1</w:t>
            </w:r>
            <w:r w:rsidR="002300A8">
              <w:t>2</w:t>
            </w:r>
            <w:r>
              <w:t>)</w:t>
            </w:r>
          </w:p>
        </w:tc>
      </w:tr>
      <w:tr w:rsidR="00E47BF3" w:rsidRPr="00E47BF3" w14:paraId="3DA36767" w14:textId="77777777" w:rsidTr="00021371">
        <w:trPr>
          <w:gridAfter w:val="1"/>
          <w:wAfter w:w="99" w:type="dxa"/>
          <w:trHeight w:val="320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A59D" w14:textId="77777777" w:rsidR="00E47BF3" w:rsidRPr="00A571DD" w:rsidRDefault="00E47BF3" w:rsidP="00021371">
            <w:pPr>
              <w:spacing w:before="8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571DD">
              <w:rPr>
                <w:rFonts w:eastAsia="Times New Roman" w:cs="Arial"/>
                <w:b/>
                <w:bCs/>
                <w:color w:val="000000"/>
              </w:rPr>
              <w:t xml:space="preserve">Subject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56C67" w14:textId="77777777" w:rsidR="00E47BF3" w:rsidRPr="00A571DD" w:rsidRDefault="00E47BF3" w:rsidP="00021371">
            <w:pPr>
              <w:spacing w:before="8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571DD">
              <w:rPr>
                <w:rFonts w:eastAsia="Times New Roman" w:cs="Arial"/>
                <w:b/>
                <w:bCs/>
                <w:color w:val="000000"/>
              </w:rPr>
              <w:t>Clinical diagnosis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C6258" w14:textId="77777777" w:rsidR="00E47BF3" w:rsidRPr="00A571DD" w:rsidRDefault="00E47BF3" w:rsidP="00021371">
            <w:pPr>
              <w:spacing w:before="8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571DD">
              <w:rPr>
                <w:rFonts w:eastAsia="Times New Roman" w:cs="Arial"/>
                <w:b/>
                <w:bCs/>
                <w:color w:val="000000"/>
              </w:rPr>
              <w:t>MRI findings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582EA" w14:textId="77777777" w:rsidR="00E47BF3" w:rsidRPr="00A571DD" w:rsidRDefault="00E47BF3" w:rsidP="00021371">
            <w:pPr>
              <w:spacing w:before="8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571DD">
              <w:rPr>
                <w:rFonts w:eastAsia="Times New Roman" w:cs="Arial"/>
                <w:b/>
                <w:bCs/>
                <w:color w:val="000000"/>
              </w:rPr>
              <w:t xml:space="preserve">Surgery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C26A6" w14:textId="75680BF9" w:rsidR="00E47BF3" w:rsidRPr="00A571DD" w:rsidRDefault="00E47BF3" w:rsidP="00021371">
            <w:pPr>
              <w:spacing w:before="8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A571DD">
              <w:rPr>
                <w:rFonts w:eastAsia="Times New Roman" w:cs="Arial"/>
                <w:b/>
                <w:bCs/>
                <w:color w:val="000000"/>
              </w:rPr>
              <w:t>Surgical findings</w:t>
            </w:r>
          </w:p>
        </w:tc>
      </w:tr>
      <w:tr w:rsidR="00E47BF3" w:rsidRPr="00717348" w14:paraId="2C366070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29DA1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2600B5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Shoulder impingement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F5E3B7" w14:textId="12CD2C5F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 xml:space="preserve">AC spurring, downward sloping acromion, partial </w:t>
            </w:r>
            <w:r w:rsidR="002300A8">
              <w:rPr>
                <w:rFonts w:eastAsia="Times New Roman" w:cs="Arial"/>
                <w:color w:val="000000"/>
              </w:rPr>
              <w:t>articular-sided</w:t>
            </w:r>
            <w:r w:rsidRPr="00717348">
              <w:rPr>
                <w:rFonts w:eastAsia="Times New Roman" w:cs="Arial"/>
                <w:color w:val="000000"/>
              </w:rPr>
              <w:t xml:space="preserve"> supraspinatus tear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DB3A6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51F524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3352F93B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E73E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51BFEF" w14:textId="7A49BA58" w:rsidR="00E47BF3" w:rsidRPr="00717348" w:rsidRDefault="002300A8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C</w:t>
            </w:r>
            <w:r w:rsidR="00E47BF3" w:rsidRPr="00717348">
              <w:rPr>
                <w:rFonts w:eastAsia="Times New Roman" w:cs="Arial"/>
                <w:color w:val="000000"/>
              </w:rPr>
              <w:t>hronic SAPS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D0B30" w14:textId="328D87E0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 xml:space="preserve">Supraspinatus and infraspinatus tendinosis, anterior capsule injury, </w:t>
            </w:r>
            <w:r w:rsidR="002300A8">
              <w:rPr>
                <w:rFonts w:eastAsia="Times New Roman" w:cs="Arial"/>
                <w:color w:val="000000"/>
              </w:rPr>
              <w:t xml:space="preserve">and </w:t>
            </w:r>
            <w:r w:rsidRPr="00717348">
              <w:rPr>
                <w:rFonts w:eastAsia="Times New Roman" w:cs="Arial"/>
                <w:color w:val="000000"/>
              </w:rPr>
              <w:t xml:space="preserve">concavity of </w:t>
            </w:r>
            <w:r w:rsidR="002300A8">
              <w:rPr>
                <w:rFonts w:eastAsia="Times New Roman" w:cs="Arial"/>
                <w:color w:val="000000"/>
              </w:rPr>
              <w:t xml:space="preserve">the </w:t>
            </w:r>
            <w:r w:rsidRPr="00717348">
              <w:rPr>
                <w:rFonts w:eastAsia="Times New Roman" w:cs="Arial"/>
                <w:color w:val="000000"/>
              </w:rPr>
              <w:t>humer</w:t>
            </w:r>
            <w:r>
              <w:rPr>
                <w:rFonts w:eastAsia="Times New Roman" w:cs="Arial"/>
                <w:color w:val="000000"/>
              </w:rPr>
              <w:t>al</w:t>
            </w:r>
            <w:r w:rsidRPr="00717348">
              <w:rPr>
                <w:rFonts w:eastAsia="Times New Roman" w:cs="Arial"/>
                <w:color w:val="000000"/>
              </w:rPr>
              <w:t xml:space="preserve"> head </w:t>
            </w:r>
            <w:r w:rsidR="002300A8">
              <w:rPr>
                <w:rFonts w:eastAsia="Times New Roman" w:cs="Arial"/>
                <w:color w:val="000000"/>
              </w:rPr>
              <w:t xml:space="preserve">are </w:t>
            </w:r>
            <w:r w:rsidRPr="00717348">
              <w:rPr>
                <w:rFonts w:eastAsia="Times New Roman" w:cs="Arial"/>
                <w:color w:val="000000"/>
              </w:rPr>
              <w:t>likely due to previous trauma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328B3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9D22F5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363041CB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1963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4AB358" w14:textId="0C8D5EF3" w:rsidR="00E47BF3" w:rsidRPr="00717348" w:rsidRDefault="002300A8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</w:t>
            </w:r>
            <w:r w:rsidR="00E47BF3" w:rsidRPr="00717348">
              <w:rPr>
                <w:rFonts w:eastAsia="Times New Roman" w:cs="Arial"/>
                <w:color w:val="000000"/>
              </w:rPr>
              <w:t>otator cuff disease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22A4" w14:textId="374CC45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 xml:space="preserve">partial thickness supraspinatus </w:t>
            </w:r>
            <w:r w:rsidR="00F94A6C">
              <w:rPr>
                <w:rFonts w:eastAsia="Times New Roman" w:cs="Arial"/>
                <w:color w:val="000000"/>
              </w:rPr>
              <w:t>tear</w:t>
            </w:r>
            <w:r w:rsidRPr="00717348">
              <w:rPr>
                <w:rFonts w:eastAsia="Times New Roman" w:cs="Arial"/>
                <w:color w:val="000000"/>
              </w:rPr>
              <w:t>, AC joint arthrosis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0C82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BBE441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435AC0F9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8DAB7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CB93BF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SAPS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EFC435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marked osteopenia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6D31B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DB94E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3357477F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9EFEB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65CD96" w14:textId="1FBA2B8C" w:rsidR="00E47BF3" w:rsidRPr="00717348" w:rsidRDefault="002300A8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</w:t>
            </w:r>
            <w:r w:rsidR="00E47BF3" w:rsidRPr="00717348">
              <w:rPr>
                <w:rFonts w:eastAsia="Times New Roman" w:cs="Arial"/>
                <w:color w:val="000000"/>
              </w:rPr>
              <w:t>capular dyskinesis, mild instability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CA459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unremarkable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9AE4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F0436C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08B68750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EB4FE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5256A7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AC joint arthrosis, rotator cuff tendinitis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33176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Moderate AC arthropathy, supraspinatus tendinosis.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722F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yes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215B" w14:textId="718B729A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AC joint arthritis, partial thickness supraspinatus tear, adhesive capsulitis</w:t>
            </w:r>
            <w:r>
              <w:rPr>
                <w:rFonts w:eastAsia="Times New Roman" w:cs="Arial"/>
                <w:color w:val="000000"/>
              </w:rPr>
              <w:t>,</w:t>
            </w:r>
            <w:r w:rsidRPr="00717348">
              <w:rPr>
                <w:rFonts w:eastAsia="Times New Roman" w:cs="Arial"/>
                <w:color w:val="000000"/>
              </w:rPr>
              <w:t xml:space="preserve"> biceps tendinitis</w:t>
            </w:r>
          </w:p>
        </w:tc>
      </w:tr>
      <w:tr w:rsidR="00E47BF3" w:rsidRPr="00717348" w14:paraId="73C5FAED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1C73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4DAA1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SAPS, AC joint OA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74352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advanced AC joint OA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89501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0DDF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392383E1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84AE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8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EAD61" w14:textId="7BBC6B38" w:rsidR="00E47BF3" w:rsidRPr="00717348" w:rsidRDefault="002300A8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L</w:t>
            </w:r>
            <w:r w:rsidR="00E47BF3" w:rsidRPr="00717348">
              <w:rPr>
                <w:rFonts w:eastAsia="Times New Roman" w:cs="Arial"/>
                <w:color w:val="000000"/>
              </w:rPr>
              <w:t>abrum pathology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6E28D2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degenerative changes of the glenoid, degenerative changes of the posterior labrum suggestive of a tear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0DE2C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yes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F82EAD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posterior labrum tear, SLAP tear</w:t>
            </w:r>
          </w:p>
        </w:tc>
      </w:tr>
      <w:tr w:rsidR="00E47BF3" w:rsidRPr="00717348" w14:paraId="44D42435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73132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9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71891" w14:textId="345DD2D0" w:rsidR="00E47BF3" w:rsidRPr="00717348" w:rsidRDefault="002300A8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B</w:t>
            </w:r>
            <w:r w:rsidR="00E47BF3" w:rsidRPr="00717348">
              <w:rPr>
                <w:rFonts w:eastAsia="Times New Roman" w:cs="Arial"/>
                <w:color w:val="000000"/>
              </w:rPr>
              <w:t>iceps rupture, SAPS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F63E80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SLAP tear, partial biceps tendon tear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8ADCE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yes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C0BB09" w14:textId="21E454B5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 xml:space="preserve">superior labrum tear, previous biceps rupture with remnant still attached, </w:t>
            </w:r>
            <w:r>
              <w:rPr>
                <w:rFonts w:eastAsia="Times New Roman" w:cs="Arial"/>
                <w:color w:val="000000"/>
              </w:rPr>
              <w:t>subacromial</w:t>
            </w:r>
            <w:r w:rsidRPr="00717348">
              <w:rPr>
                <w:rFonts w:eastAsia="Times New Roman" w:cs="Arial"/>
                <w:color w:val="000000"/>
              </w:rPr>
              <w:t xml:space="preserve"> impingement</w:t>
            </w:r>
          </w:p>
        </w:tc>
      </w:tr>
      <w:tr w:rsidR="00E47BF3" w:rsidRPr="00717348" w14:paraId="3F12214E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DDA3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2995CD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rotator cuff disease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648BD3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Hill-</w:t>
            </w:r>
            <w:r>
              <w:rPr>
                <w:rFonts w:eastAsia="Times New Roman" w:cs="Arial"/>
                <w:color w:val="000000"/>
              </w:rPr>
              <w:t>S</w:t>
            </w:r>
            <w:r w:rsidRPr="00717348">
              <w:rPr>
                <w:rFonts w:eastAsia="Times New Roman" w:cs="Arial"/>
                <w:color w:val="000000"/>
              </w:rPr>
              <w:t>achs deformity, small partial thickness supraspinatus tear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4F9E3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036A4F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42BA5412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4878D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20FA60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adhesive capsulitis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31F9A8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premature glenohumeral OA, degenerative labrum, supraspinatus tendinosis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3987F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3DFA5A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E47BF3" w:rsidRPr="00717348" w14:paraId="05532FD3" w14:textId="77777777" w:rsidTr="00021371">
        <w:trPr>
          <w:trHeight w:val="20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80D63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12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663015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impingement syndrome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4F7A69" w14:textId="6D8CC966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Attenuation of the posterior supraspinatus tendon, poorly marginated and intermediate signal of the rotato</w:t>
            </w:r>
            <w:r>
              <w:rPr>
                <w:rFonts w:eastAsia="Times New Roman" w:cs="Arial"/>
                <w:color w:val="000000"/>
              </w:rPr>
              <w:t>r</w:t>
            </w:r>
            <w:r w:rsidRPr="00717348">
              <w:rPr>
                <w:rFonts w:eastAsia="Times New Roman" w:cs="Arial"/>
                <w:color w:val="000000"/>
              </w:rPr>
              <w:t xml:space="preserve"> cuff interval and axillary pouch (findings consistent with adhesive capsulitis</w:t>
            </w:r>
            <w:r>
              <w:rPr>
                <w:rFonts w:eastAsia="Times New Roman" w:cs="Arial"/>
                <w:color w:val="000000"/>
              </w:rPr>
              <w:t>, clinical</w:t>
            </w:r>
            <w:r w:rsidRPr="00717348">
              <w:rPr>
                <w:rFonts w:eastAsia="Times New Roman" w:cs="Arial"/>
                <w:color w:val="000000"/>
              </w:rPr>
              <w:t xml:space="preserve"> correlation necessary), moderate severity AC joint arthrosis.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17D8D9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6DA57" w14:textId="77777777" w:rsidR="00E47BF3" w:rsidRPr="00717348" w:rsidRDefault="00E47BF3" w:rsidP="00021371">
            <w:pPr>
              <w:spacing w:before="80" w:after="0" w:line="240" w:lineRule="auto"/>
              <w:rPr>
                <w:rFonts w:eastAsia="Times New Roman" w:cs="Arial"/>
                <w:color w:val="000000"/>
              </w:rPr>
            </w:pPr>
            <w:r w:rsidRPr="00717348">
              <w:rPr>
                <w:rFonts w:eastAsia="Times New Roman" w:cs="Arial"/>
                <w:color w:val="000000"/>
              </w:rPr>
              <w:t> </w:t>
            </w:r>
          </w:p>
        </w:tc>
      </w:tr>
      <w:tr w:rsidR="00E47BF3" w:rsidRPr="00717348" w14:paraId="35C806C4" w14:textId="77777777" w:rsidTr="00021371">
        <w:trPr>
          <w:gridAfter w:val="1"/>
          <w:wAfter w:w="99" w:type="dxa"/>
          <w:trHeight w:val="320"/>
        </w:trPr>
        <w:tc>
          <w:tcPr>
            <w:tcW w:w="100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5AA3" w14:textId="69708EF9" w:rsidR="00E47BF3" w:rsidRPr="00F94A6C" w:rsidRDefault="002300A8" w:rsidP="00021371">
            <w:pPr>
              <w:spacing w:before="80"/>
              <w:rPr>
                <w:i/>
                <w:iCs/>
              </w:rPr>
            </w:pPr>
            <w:r w:rsidRPr="00465893">
              <w:rPr>
                <w:i/>
                <w:iCs/>
              </w:rPr>
              <w:t>Abbreviations: SAPS, subacromial pain syndrome; OA, osteoarthritis; AC, acromioclavicular; SLAP, superior labrum anterior to posterior</w:t>
            </w:r>
          </w:p>
        </w:tc>
      </w:tr>
    </w:tbl>
    <w:p w14:paraId="015C7A99" w14:textId="77777777" w:rsidR="00E47BF3" w:rsidRDefault="00E47BF3" w:rsidP="00E47BF3"/>
    <w:sectPr w:rsidR="00E47BF3" w:rsidSect="00021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49"/>
    <w:rsid w:val="00001DCA"/>
    <w:rsid w:val="00021371"/>
    <w:rsid w:val="000D35AC"/>
    <w:rsid w:val="0017563E"/>
    <w:rsid w:val="002300A8"/>
    <w:rsid w:val="0041371B"/>
    <w:rsid w:val="005312C2"/>
    <w:rsid w:val="00736540"/>
    <w:rsid w:val="008D02B9"/>
    <w:rsid w:val="00A30F08"/>
    <w:rsid w:val="00A571DD"/>
    <w:rsid w:val="00A646FD"/>
    <w:rsid w:val="00AE1714"/>
    <w:rsid w:val="00B120B3"/>
    <w:rsid w:val="00B42285"/>
    <w:rsid w:val="00B44029"/>
    <w:rsid w:val="00C85237"/>
    <w:rsid w:val="00CB0049"/>
    <w:rsid w:val="00CD5B6E"/>
    <w:rsid w:val="00E47BF3"/>
    <w:rsid w:val="00E803B9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98C36"/>
  <w15:chartTrackingRefBased/>
  <w15:docId w15:val="{D997887B-9628-4597-85D3-1283340E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49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4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49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1523</Characters>
  <Application>Microsoft Office Word</Application>
  <DocSecurity>0</DocSecurity>
  <Lines>105</Lines>
  <Paragraphs>58</Paragraphs>
  <ScaleCrop>false</ScaleCrop>
  <Company>Texas Woman's University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Jace</dc:creator>
  <cp:keywords/>
  <dc:description/>
  <cp:lastModifiedBy>Reviewer</cp:lastModifiedBy>
  <cp:revision>2</cp:revision>
  <dcterms:created xsi:type="dcterms:W3CDTF">2026-04-07T16:22:00Z</dcterms:created>
  <dcterms:modified xsi:type="dcterms:W3CDTF">2026-04-07T16:22:00Z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75db6f9e-09dd-422a-946f-617ef0730cec</vt:lpwstr>
  </property>
</Properties>
</file>