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2EB0B9" w14:textId="7B530D74" w:rsidR="00D22FC2" w:rsidRDefault="00341E50">
      <w:r>
        <w:t xml:space="preserve">Appendix B: </w:t>
      </w:r>
      <w:r w:rsidR="000F04C8">
        <w:t>Appendix Tables providing d</w:t>
      </w:r>
      <w:r>
        <w:t xml:space="preserve">etailed </w:t>
      </w:r>
      <w:r w:rsidR="000F04C8">
        <w:t>c</w:t>
      </w:r>
      <w:r>
        <w:t>haracteristics of all included studies</w:t>
      </w:r>
    </w:p>
    <w:p w14:paraId="7DD025F7" w14:textId="1ED4D00F" w:rsidR="00341E50" w:rsidRPr="007F581C" w:rsidRDefault="00341E50" w:rsidP="00341E50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F581C">
        <w:rPr>
          <w:rFonts w:ascii="Times New Roman" w:hAnsi="Times New Roman" w:cs="Times New Roman"/>
          <w:b/>
          <w:bCs/>
          <w:sz w:val="20"/>
          <w:szCs w:val="20"/>
        </w:rPr>
        <w:t>Table 1. Summary of included studies on Dual-task interference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7"/>
        <w:gridCol w:w="3179"/>
        <w:gridCol w:w="4114"/>
      </w:tblGrid>
      <w:tr w:rsidR="00341E50" w:rsidRPr="003140AE" w14:paraId="3144C861" w14:textId="77777777" w:rsidTr="00410840">
        <w:trPr>
          <w:trHeight w:val="1080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4285F4" w:fill="4285F4"/>
            <w:vAlign w:val="center"/>
          </w:tcPr>
          <w:p w14:paraId="354D67AC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Reference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4285F4" w:fill="4285F4"/>
            <w:vAlign w:val="center"/>
            <w:hideMark/>
          </w:tcPr>
          <w:p w14:paraId="758EFD62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Population / Subject matter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4285F4" w:fill="4285F4"/>
            <w:vAlign w:val="center"/>
            <w:hideMark/>
          </w:tcPr>
          <w:p w14:paraId="099B98E2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Main outcomes</w:t>
            </w:r>
          </w:p>
        </w:tc>
      </w:tr>
      <w:tr w:rsidR="00341E50" w:rsidRPr="003140AE" w14:paraId="7909F69E" w14:textId="77777777" w:rsidTr="00341E50">
        <w:trPr>
          <w:trHeight w:val="1295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6C80682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Hallaj Mazidluie, 2024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12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32AE77D4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28 participants / to compare the effect of cognitive dual-task and single-task balance exercises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6A37C83F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Cognitive dual-task and single-task balance exercises improve static balance indicators </w:t>
            </w:r>
          </w:p>
        </w:tc>
      </w:tr>
      <w:tr w:rsidR="00341E50" w:rsidRPr="003140AE" w14:paraId="6F080DBC" w14:textId="77777777" w:rsidTr="00410840">
        <w:trPr>
          <w:trHeight w:val="975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71485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Knight, 2026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13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AF53A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The effect of dual-task landing on potential ACL loading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CE93C6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Small mechanical changes did not significantly impact knee abduction or internal rotation loading</w:t>
            </w:r>
          </w:p>
        </w:tc>
      </w:tr>
      <w:tr w:rsidR="00341E50" w:rsidRPr="003140AE" w14:paraId="3F34C2FB" w14:textId="77777777" w:rsidTr="00410840">
        <w:trPr>
          <w:trHeight w:val="975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</w:tcPr>
          <w:p w14:paraId="2303DA69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Ebner, 2025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14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65DEC463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Effects of anticipation and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dual-tasking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on lower limb biomechanics during COD tasks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2E20E66E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Cognitive demands during COD performance affect lower limb biomechanics</w:t>
            </w:r>
          </w:p>
        </w:tc>
      </w:tr>
      <w:tr w:rsidR="00341E50" w:rsidRPr="003140AE" w14:paraId="43194871" w14:textId="77777777" w:rsidTr="00410840">
        <w:trPr>
          <w:trHeight w:val="975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8F9CA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Smeets, 2021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15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395B8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40 participants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ACLr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and different neuromuscular response 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39DCB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Injured leg of athletes with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ACLr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shows a different neuromuscular response to environmental challenges compared to uninjured athletes</w:t>
            </w:r>
          </w:p>
        </w:tc>
      </w:tr>
      <w:tr w:rsidR="00341E50" w:rsidRPr="003140AE" w14:paraId="24D6D4E7" w14:textId="77777777" w:rsidTr="00410840">
        <w:trPr>
          <w:trHeight w:val="975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</w:tcPr>
          <w:p w14:paraId="3BFCECC5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it-IT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Vendrig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, 2025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16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7114139C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20 participants / Influence of a cognitive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dual-task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on dynamic tibiofemoral movements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2A4143E8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Cognitive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dual-task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affects a person's ability to execute an appropriate landing </w:t>
            </w:r>
          </w:p>
        </w:tc>
      </w:tr>
      <w:tr w:rsidR="00341E50" w:rsidRPr="003140AE" w14:paraId="29A82557" w14:textId="77777777" w:rsidTr="00410840">
        <w:trPr>
          <w:trHeight w:val="975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26F8B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Chaaban, 2022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17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E083B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RTS tests do not incorporate a secondary cognitive load. 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3E8603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Clinicians should add measurable and reliable cognitive tasks to RTS test</w:t>
            </w:r>
          </w:p>
        </w:tc>
      </w:tr>
    </w:tbl>
    <w:p w14:paraId="3C3D45BA" w14:textId="2A900A35" w:rsidR="00341E50" w:rsidRPr="00341E50" w:rsidRDefault="00341E50" w:rsidP="00341E50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41E50">
        <w:rPr>
          <w:rFonts w:ascii="Times New Roman" w:hAnsi="Times New Roman" w:cs="Times New Roman"/>
          <w:sz w:val="20"/>
          <w:szCs w:val="20"/>
        </w:rPr>
        <w:t xml:space="preserve">Abbreviations: COD, change of direction; </w:t>
      </w:r>
      <w:proofErr w:type="spellStart"/>
      <w:r w:rsidRPr="00341E50">
        <w:rPr>
          <w:rFonts w:ascii="Times New Roman" w:hAnsi="Times New Roman" w:cs="Times New Roman"/>
          <w:sz w:val="20"/>
          <w:szCs w:val="20"/>
        </w:rPr>
        <w:t>ACLr</w:t>
      </w:r>
      <w:proofErr w:type="spellEnd"/>
      <w:r w:rsidRPr="00341E50">
        <w:rPr>
          <w:rFonts w:ascii="Times New Roman" w:hAnsi="Times New Roman" w:cs="Times New Roman"/>
          <w:sz w:val="20"/>
          <w:szCs w:val="20"/>
        </w:rPr>
        <w:t>, anterior cruciate ligament reconstruction; RTS, return to sport</w:t>
      </w:r>
    </w:p>
    <w:p w14:paraId="15A8CEE8" w14:textId="1DB0B322" w:rsidR="00341E50" w:rsidRPr="00047384" w:rsidRDefault="00341E50" w:rsidP="00341E50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047384">
        <w:rPr>
          <w:rFonts w:ascii="Times New Roman" w:hAnsi="Times New Roman" w:cs="Times New Roman"/>
          <w:b/>
          <w:bCs/>
          <w:sz w:val="20"/>
          <w:szCs w:val="20"/>
        </w:rPr>
        <w:t>Table 2. Summary of included studies on Visual attention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7"/>
        <w:gridCol w:w="3179"/>
        <w:gridCol w:w="4114"/>
      </w:tblGrid>
      <w:tr w:rsidR="00341E50" w:rsidRPr="003140AE" w14:paraId="1FE44790" w14:textId="77777777" w:rsidTr="00410840">
        <w:trPr>
          <w:trHeight w:val="1080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4285F4" w:fill="4285F4"/>
            <w:vAlign w:val="center"/>
          </w:tcPr>
          <w:p w14:paraId="08166810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Reference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4285F4" w:fill="4285F4"/>
            <w:vAlign w:val="center"/>
            <w:hideMark/>
          </w:tcPr>
          <w:p w14:paraId="5EA2CFC1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Population / Subject matter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4285F4" w:fill="4285F4"/>
            <w:vAlign w:val="center"/>
            <w:hideMark/>
          </w:tcPr>
          <w:p w14:paraId="270903D2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Main outcomes</w:t>
            </w:r>
          </w:p>
        </w:tc>
      </w:tr>
      <w:tr w:rsidR="00341E50" w:rsidRPr="003140AE" w14:paraId="43418454" w14:textId="77777777" w:rsidTr="00410840">
        <w:trPr>
          <w:trHeight w:val="1020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</w:tcPr>
          <w:p w14:paraId="139A229A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it-IT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Rikken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, 2024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18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1B2E25C5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15 participants / the effect of added visual attentional demands on kinematics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546BB668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Increased visual attentional demands result in less hip and knee flexion during the absorption phase</w:t>
            </w:r>
          </w:p>
        </w:tc>
      </w:tr>
      <w:tr w:rsidR="00341E50" w:rsidRPr="003140AE" w14:paraId="1E4B94C1" w14:textId="77777777" w:rsidTr="00410840">
        <w:trPr>
          <w:trHeight w:val="975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E6E78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Wohl, 2021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19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0D745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Patients with ACL injuries may require greater levels of visual-motor and neurocognitive processing activity 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F5E8F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Incorporate visual-perturbation training supplemented by motor learning principles may increase visuomotor efficiency during ACL rehabilitation</w:t>
            </w:r>
          </w:p>
        </w:tc>
      </w:tr>
      <w:tr w:rsidR="00341E50" w:rsidRPr="003140AE" w14:paraId="3D56FEB1" w14:textId="77777777" w:rsidTr="00410840">
        <w:trPr>
          <w:trHeight w:val="975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</w:tcPr>
          <w:p w14:paraId="54966CE1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Dingenen, 2017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20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29DBD97E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Critical appraisal of current RTS criteria after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ACLr</w:t>
            </w:r>
            <w:proofErr w:type="spellEnd"/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723383DF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ACL is a neurophysiological injury so RTS criteria should include tests about sensorimotor system</w:t>
            </w:r>
          </w:p>
        </w:tc>
      </w:tr>
      <w:tr w:rsidR="00341E50" w:rsidRPr="003140AE" w14:paraId="0919B443" w14:textId="77777777" w:rsidTr="00410840">
        <w:trPr>
          <w:trHeight w:val="975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5AFBB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An, 2023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21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37432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40 participants / effects of cognitive training on joint stiffness and knee function following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ACLr</w:t>
            </w:r>
            <w:proofErr w:type="spellEnd"/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ED8525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Cognitive training interventions have the potential to enhance cognitive processing</w:t>
            </w:r>
          </w:p>
        </w:tc>
      </w:tr>
      <w:tr w:rsidR="00341E50" w:rsidRPr="003140AE" w14:paraId="60B26084" w14:textId="77777777" w:rsidTr="00410840">
        <w:trPr>
          <w:trHeight w:val="975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</w:tcPr>
          <w:p w14:paraId="3A251D52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it-IT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Culiver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, 2023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22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3CE2A85C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8 participants / relationship among CNS function and lower extremity kinetics individuals with a history of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ACLr</w:t>
            </w:r>
            <w:proofErr w:type="spellEnd"/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5E619588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Cognitive response during basic knee movement is altered in active individual years after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ACLr</w:t>
            </w:r>
            <w:proofErr w:type="spellEnd"/>
          </w:p>
        </w:tc>
      </w:tr>
    </w:tbl>
    <w:p w14:paraId="0BA8111C" w14:textId="4BD74319" w:rsidR="00341E50" w:rsidRPr="00341E50" w:rsidRDefault="00341E50" w:rsidP="00341E50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41E50">
        <w:rPr>
          <w:rFonts w:ascii="Times New Roman" w:hAnsi="Times New Roman" w:cs="Times New Roman"/>
          <w:sz w:val="20"/>
          <w:szCs w:val="20"/>
        </w:rPr>
        <w:t xml:space="preserve">Abbreviations: </w:t>
      </w:r>
      <w:proofErr w:type="spellStart"/>
      <w:r w:rsidRPr="00341E50">
        <w:rPr>
          <w:rFonts w:ascii="Times New Roman" w:hAnsi="Times New Roman" w:cs="Times New Roman"/>
          <w:sz w:val="20"/>
          <w:szCs w:val="20"/>
        </w:rPr>
        <w:t>ACLr</w:t>
      </w:r>
      <w:proofErr w:type="spellEnd"/>
      <w:r w:rsidRPr="00341E50">
        <w:rPr>
          <w:rFonts w:ascii="Times New Roman" w:hAnsi="Times New Roman" w:cs="Times New Roman"/>
          <w:sz w:val="20"/>
          <w:szCs w:val="20"/>
        </w:rPr>
        <w:t>, anterior cruciate ligament reconstruction; RTS, return to sport</w:t>
      </w:r>
    </w:p>
    <w:p w14:paraId="49A51C63" w14:textId="55399908" w:rsidR="00341E50" w:rsidRPr="00047384" w:rsidRDefault="00341E50" w:rsidP="00341E50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047384">
        <w:rPr>
          <w:rFonts w:ascii="Times New Roman" w:hAnsi="Times New Roman" w:cs="Times New Roman"/>
          <w:b/>
          <w:bCs/>
          <w:sz w:val="20"/>
          <w:szCs w:val="20"/>
        </w:rPr>
        <w:t>Table 3. Summary of included studies on Dual-task interference and Visual attention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7"/>
        <w:gridCol w:w="3179"/>
        <w:gridCol w:w="4114"/>
      </w:tblGrid>
      <w:tr w:rsidR="00341E50" w:rsidRPr="003140AE" w14:paraId="4006B031" w14:textId="77777777" w:rsidTr="00410840">
        <w:trPr>
          <w:trHeight w:val="1080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4285F4" w:fill="4285F4"/>
            <w:vAlign w:val="center"/>
          </w:tcPr>
          <w:p w14:paraId="5E3EEB2A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Reference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4285F4" w:fill="4285F4"/>
            <w:vAlign w:val="center"/>
            <w:hideMark/>
          </w:tcPr>
          <w:p w14:paraId="2ED084FF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Population / Subject matter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4285F4" w:fill="4285F4"/>
            <w:vAlign w:val="center"/>
            <w:hideMark/>
          </w:tcPr>
          <w:p w14:paraId="108B0335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Main outcomes</w:t>
            </w:r>
          </w:p>
        </w:tc>
      </w:tr>
      <w:tr w:rsidR="00341E50" w:rsidRPr="003140AE" w14:paraId="7B7A408A" w14:textId="77777777" w:rsidTr="00410840">
        <w:trPr>
          <w:trHeight w:val="975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</w:tcPr>
          <w:p w14:paraId="5BA21A85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it-IT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Memain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, 2025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23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74E04E88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62 participants / adding a dual-task during single-leg countermovement-jumps affects neuromotor control 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5C31BF06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Post-injury athletes tend to maintain compensatory neural strategies</w:t>
            </w:r>
          </w:p>
        </w:tc>
      </w:tr>
      <w:tr w:rsidR="00341E50" w:rsidRPr="003140AE" w14:paraId="5EEF05C5" w14:textId="77777777" w:rsidTr="00410840">
        <w:trPr>
          <w:trHeight w:val="1365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AD589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Thomas, 2024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24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AEB5B8" w14:textId="77777777" w:rsidR="00341E50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Integrating neurocognitive training into all phases of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ACLr</w:t>
            </w:r>
            <w:proofErr w:type="spellEnd"/>
          </w:p>
          <w:p w14:paraId="577E4296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rehabilitation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CD602B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Addressing neurocognitive training in late-stage rehabilitation programs may help to bridge the gap between RTS and RTP</w:t>
            </w:r>
          </w:p>
        </w:tc>
      </w:tr>
      <w:tr w:rsidR="00341E50" w:rsidRPr="003140AE" w14:paraId="0FCC196F" w14:textId="77777777" w:rsidTr="00410840">
        <w:trPr>
          <w:trHeight w:val="1365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2BD4098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Hughes, 2021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25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0163BB86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Effects of decision making and divided attention on lower limb biomechanics 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6A1DAEE9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Changes during decision making and dividing attention are likely due to a reduced ability to anticipate ground contact </w:t>
            </w:r>
          </w:p>
        </w:tc>
      </w:tr>
      <w:tr w:rsidR="00341E50" w:rsidRPr="003140AE" w14:paraId="6F3B1459" w14:textId="77777777" w:rsidTr="00410840">
        <w:trPr>
          <w:trHeight w:val="1365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86EC6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Monfort, 2025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26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BE654B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36 participants / Clinical utility of cognitive–motor interference 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40AD08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ACLr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patients have higher injury risk mechanics when an additional unanticipated cognitive challenge was added to the jumping task</w:t>
            </w:r>
          </w:p>
        </w:tc>
      </w:tr>
      <w:tr w:rsidR="00341E50" w:rsidRPr="003140AE" w14:paraId="2D97BA3E" w14:textId="77777777" w:rsidTr="00410840">
        <w:trPr>
          <w:trHeight w:val="1365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</w:tcPr>
          <w:p w14:paraId="488891B1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Grooms, 2015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27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3A4A1AC7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Close the gap between rehabilitation and activity by targeting sensorimotor function during neuromuscular training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47F21836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Visual-motor training with modern technologies may help to mitigate postinjury movement dysfunction</w:t>
            </w:r>
          </w:p>
        </w:tc>
      </w:tr>
      <w:tr w:rsidR="00341E50" w:rsidRPr="003140AE" w14:paraId="0C302CE0" w14:textId="77777777" w:rsidTr="00410840">
        <w:trPr>
          <w:trHeight w:val="1365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0A235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it-IT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Aflatounian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, 2025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28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EBA23F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72 participants / evaluate cognitive-motor impairments that persist after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ACLr</w:t>
            </w:r>
            <w:proofErr w:type="spellEnd"/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BC204E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ACLr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group exhibits riskier biomechanics compared with control group during jump landing movements</w:t>
            </w:r>
          </w:p>
        </w:tc>
      </w:tr>
      <w:tr w:rsidR="00341E50" w:rsidRPr="003140AE" w14:paraId="775D21B8" w14:textId="77777777" w:rsidTr="00410840">
        <w:trPr>
          <w:trHeight w:val="1365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</w:tcPr>
          <w:p w14:paraId="2F364D5D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Grooms, 2018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29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5142C745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30 participants / effect of stroboscopic visual-feedback disruption (SVFD) on drop vertical-jump landing mechanics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09E37DC8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Visual-feedback disruption altered bilateral landing kinematics</w:t>
            </w:r>
          </w:p>
        </w:tc>
      </w:tr>
      <w:tr w:rsidR="00341E50" w:rsidRPr="003140AE" w14:paraId="45A09372" w14:textId="77777777" w:rsidTr="00410840">
        <w:trPr>
          <w:trHeight w:val="1365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3754C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Wilk, 2024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5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17BC34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Integrating neurocognitive training into all phases of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ACLr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rehabilitation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BD755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Neurocognitive training reduces re-injury rates and promotes optimal recovery</w:t>
            </w:r>
          </w:p>
        </w:tc>
      </w:tr>
      <w:tr w:rsidR="00341E50" w:rsidRPr="003140AE" w14:paraId="7D328CD7" w14:textId="77777777" w:rsidTr="00410840">
        <w:trPr>
          <w:trHeight w:val="1365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</w:tcPr>
          <w:p w14:paraId="3C4565C4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Stańczak, 2025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30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4D5DD284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Neuroplastic therapy and external focus strategies. 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2361E247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Traditional rehabilitation should be overcome</w:t>
            </w:r>
          </w:p>
        </w:tc>
      </w:tr>
    </w:tbl>
    <w:p w14:paraId="17520626" w14:textId="77777777" w:rsidR="00341E50" w:rsidRPr="00341E50" w:rsidRDefault="00341E50" w:rsidP="00341E50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41E50">
        <w:rPr>
          <w:rFonts w:ascii="Times New Roman" w:hAnsi="Times New Roman" w:cs="Times New Roman"/>
          <w:sz w:val="20"/>
          <w:szCs w:val="20"/>
        </w:rPr>
        <w:t xml:space="preserve">Abbreviations: </w:t>
      </w:r>
      <w:proofErr w:type="spellStart"/>
      <w:r w:rsidRPr="00341E50">
        <w:rPr>
          <w:rFonts w:ascii="Times New Roman" w:hAnsi="Times New Roman" w:cs="Times New Roman"/>
          <w:sz w:val="20"/>
          <w:szCs w:val="20"/>
        </w:rPr>
        <w:t>ACLr</w:t>
      </w:r>
      <w:proofErr w:type="spellEnd"/>
      <w:r w:rsidRPr="00341E50">
        <w:rPr>
          <w:rFonts w:ascii="Times New Roman" w:hAnsi="Times New Roman" w:cs="Times New Roman"/>
          <w:sz w:val="20"/>
          <w:szCs w:val="20"/>
        </w:rPr>
        <w:t>, anterior cruciate ligament reconstruction; RTS, return to sport; RTP, return to performance</w:t>
      </w:r>
    </w:p>
    <w:p w14:paraId="6523AB74" w14:textId="6EA54449" w:rsidR="00341E50" w:rsidRPr="00047384" w:rsidRDefault="00341E50" w:rsidP="00341E50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047384">
        <w:rPr>
          <w:rFonts w:ascii="Times New Roman" w:hAnsi="Times New Roman" w:cs="Times New Roman"/>
          <w:b/>
          <w:bCs/>
          <w:sz w:val="20"/>
          <w:szCs w:val="20"/>
        </w:rPr>
        <w:t>Table 4. Summary of included studies on Reaction time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7"/>
        <w:gridCol w:w="3179"/>
        <w:gridCol w:w="4114"/>
      </w:tblGrid>
      <w:tr w:rsidR="00341E50" w:rsidRPr="003140AE" w14:paraId="7DAD8A51" w14:textId="77777777" w:rsidTr="00410840">
        <w:trPr>
          <w:trHeight w:val="1080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4285F4" w:fill="4285F4"/>
            <w:vAlign w:val="center"/>
          </w:tcPr>
          <w:p w14:paraId="247560D3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Reference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4285F4" w:fill="4285F4"/>
            <w:vAlign w:val="center"/>
            <w:hideMark/>
          </w:tcPr>
          <w:p w14:paraId="461056C5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Population / Subject matter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4285F4" w:fill="4285F4"/>
            <w:vAlign w:val="center"/>
            <w:hideMark/>
          </w:tcPr>
          <w:p w14:paraId="7BDD8E6B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Main outcomes</w:t>
            </w:r>
          </w:p>
        </w:tc>
      </w:tr>
      <w:tr w:rsidR="00341E50" w:rsidRPr="003140AE" w14:paraId="0C3132E4" w14:textId="77777777" w:rsidTr="00410840">
        <w:trPr>
          <w:trHeight w:val="1365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05A03167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McLean, 2010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31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6D93E627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 participants / lower limb muscle pre-motor times during a simple choice reaction task correlated with knee biomechanics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5DF146AD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Associations exist primarily for the medial lower limb muscle groups</w:t>
            </w:r>
          </w:p>
        </w:tc>
      </w:tr>
      <w:tr w:rsidR="00341E50" w:rsidRPr="003140AE" w14:paraId="2F9EF188" w14:textId="77777777" w:rsidTr="00410840">
        <w:trPr>
          <w:trHeight w:val="1035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A18B6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Ebner, 2025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32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12EDB0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29 participants / effects of increasing movement options during CODs in response to a real opponent on kinematics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53E2B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Increased cognitive demands during COD task performance predominantly influence proximal kinematics at the hip, pelvis and trunk</w:t>
            </w:r>
          </w:p>
        </w:tc>
      </w:tr>
      <w:tr w:rsidR="00341E50" w:rsidRPr="003140AE" w14:paraId="75EEBBE8" w14:textId="77777777" w:rsidTr="00410840">
        <w:trPr>
          <w:trHeight w:val="1035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</w:tcPr>
          <w:p w14:paraId="7FA4B62F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Jiménez-Martínez, 2025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33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6CEE29B9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60 participants / proactive inhibitory performance ability of athletes with no ACL injury and ACL-rehabilitated athletes 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07C399C4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Athletes rehabilitated from an ACL injury show inferior performance in proactive inhibitory control compared to healthy athletes</w:t>
            </w:r>
          </w:p>
        </w:tc>
      </w:tr>
    </w:tbl>
    <w:p w14:paraId="62ABACF7" w14:textId="77777777" w:rsidR="00341E50" w:rsidRPr="00341E50" w:rsidRDefault="00341E50" w:rsidP="00341E50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41E50">
        <w:rPr>
          <w:rFonts w:ascii="Times New Roman" w:hAnsi="Times New Roman" w:cs="Times New Roman"/>
          <w:sz w:val="20"/>
          <w:szCs w:val="20"/>
        </w:rPr>
        <w:t>Abbreviations: COD, change of direction</w:t>
      </w:r>
    </w:p>
    <w:p w14:paraId="6F1758F8" w14:textId="77777777" w:rsidR="00341E50" w:rsidRPr="00476FAA" w:rsidRDefault="00341E50" w:rsidP="00341E50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B19EFBA" w14:textId="77777777" w:rsidR="00341E50" w:rsidRDefault="00341E50" w:rsidP="00341E50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DBD08BE" w14:textId="71CF853D" w:rsidR="00341E50" w:rsidRPr="00047384" w:rsidRDefault="00341E50" w:rsidP="00341E50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47384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5. Summary of included studies on Visual attention and Reaction time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7"/>
        <w:gridCol w:w="3179"/>
        <w:gridCol w:w="4114"/>
      </w:tblGrid>
      <w:tr w:rsidR="00341E50" w:rsidRPr="003140AE" w14:paraId="7A116BCE" w14:textId="77777777" w:rsidTr="00410840">
        <w:trPr>
          <w:trHeight w:val="1080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4285F4" w:fill="4285F4"/>
            <w:vAlign w:val="center"/>
          </w:tcPr>
          <w:p w14:paraId="08055B63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Reference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4285F4" w:fill="4285F4"/>
            <w:vAlign w:val="center"/>
            <w:hideMark/>
          </w:tcPr>
          <w:p w14:paraId="508F89E7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Population / Subject matter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4285F4" w:fill="4285F4"/>
            <w:vAlign w:val="center"/>
            <w:hideMark/>
          </w:tcPr>
          <w:p w14:paraId="2DAA51D0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Main outcomes</w:t>
            </w:r>
          </w:p>
        </w:tc>
      </w:tr>
      <w:tr w:rsidR="00341E50" w:rsidRPr="003140AE" w14:paraId="2EB01D51" w14:textId="77777777" w:rsidTr="00410840">
        <w:trPr>
          <w:trHeight w:val="1035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</w:tcPr>
          <w:p w14:paraId="0961B679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Gholipour Aghdam, 2024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44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04A2045F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30 participants / unplanned jump landing kinetics and knee kinematics 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ACLr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athletes.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568E5DC4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Athletes with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ACLr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exhibit kinematic knee impairments during neurocognitively challenged drop landings</w:t>
            </w:r>
          </w:p>
        </w:tc>
      </w:tr>
      <w:tr w:rsidR="00341E50" w:rsidRPr="003140AE" w14:paraId="4A6AA0FE" w14:textId="77777777" w:rsidTr="00410840">
        <w:trPr>
          <w:trHeight w:val="1035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18298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Konishi, 2025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45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DBD6B5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32 participants / to investigate the acute effects of unplanned versus planned training on neurocognitive function and knee biomechanics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C8E7A0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Significant training group interaction for knee abduction angle during the unanticipated side-step cutting task with unplanned training</w:t>
            </w:r>
          </w:p>
        </w:tc>
      </w:tr>
    </w:tbl>
    <w:p w14:paraId="4D27BC88" w14:textId="567B424D" w:rsidR="00341E50" w:rsidRPr="00341E50" w:rsidRDefault="00341E50" w:rsidP="00341E50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41E50">
        <w:rPr>
          <w:rFonts w:ascii="Times New Roman" w:hAnsi="Times New Roman" w:cs="Times New Roman"/>
          <w:sz w:val="20"/>
          <w:szCs w:val="20"/>
        </w:rPr>
        <w:t xml:space="preserve">Abbreviations: </w:t>
      </w:r>
      <w:proofErr w:type="spellStart"/>
      <w:r w:rsidRPr="00341E50">
        <w:rPr>
          <w:rFonts w:ascii="Times New Roman" w:hAnsi="Times New Roman" w:cs="Times New Roman"/>
          <w:sz w:val="20"/>
          <w:szCs w:val="20"/>
        </w:rPr>
        <w:t>ACLr</w:t>
      </w:r>
      <w:proofErr w:type="spellEnd"/>
      <w:r w:rsidRPr="00341E50">
        <w:rPr>
          <w:rFonts w:ascii="Times New Roman" w:hAnsi="Times New Roman" w:cs="Times New Roman"/>
          <w:sz w:val="20"/>
          <w:szCs w:val="20"/>
        </w:rPr>
        <w:t>, anterior cruciate ligament reconstruction</w:t>
      </w:r>
    </w:p>
    <w:p w14:paraId="689B87CA" w14:textId="2C025DA6" w:rsidR="00341E50" w:rsidRPr="00047384" w:rsidRDefault="00341E50" w:rsidP="000F04C8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47384">
        <w:rPr>
          <w:rFonts w:ascii="Times New Roman" w:hAnsi="Times New Roman" w:cs="Times New Roman"/>
          <w:b/>
          <w:bCs/>
          <w:sz w:val="20"/>
          <w:szCs w:val="20"/>
        </w:rPr>
        <w:t>Table 6. Summary of included studies on Dual-task interference, Visual attention and Reaction time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7"/>
        <w:gridCol w:w="3179"/>
        <w:gridCol w:w="4114"/>
      </w:tblGrid>
      <w:tr w:rsidR="00341E50" w:rsidRPr="003140AE" w14:paraId="2A5B4419" w14:textId="77777777" w:rsidTr="00410840">
        <w:trPr>
          <w:trHeight w:val="1080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4285F4" w:fill="4285F4"/>
            <w:vAlign w:val="center"/>
          </w:tcPr>
          <w:p w14:paraId="31B52F2B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Reference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4285F4" w:fill="4285F4"/>
            <w:vAlign w:val="center"/>
            <w:hideMark/>
          </w:tcPr>
          <w:p w14:paraId="0EDF55D9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Population / Subject matter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4285F4" w:fill="4285F4"/>
            <w:vAlign w:val="center"/>
            <w:hideMark/>
          </w:tcPr>
          <w:p w14:paraId="28ED156A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Main outcomes</w:t>
            </w:r>
          </w:p>
        </w:tc>
      </w:tr>
      <w:tr w:rsidR="00341E50" w:rsidRPr="003140AE" w14:paraId="6D5ED001" w14:textId="77777777" w:rsidTr="00410840">
        <w:trPr>
          <w:trHeight w:val="1365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</w:tcPr>
          <w:p w14:paraId="0A503C97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Herman, 2016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34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43312799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37 participants / relationship between neurocognitive scores and jump landing performance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4FC90201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Athletes with low baseline neurocognitive scores demonstrate poorer jump landing performance </w:t>
            </w:r>
          </w:p>
        </w:tc>
      </w:tr>
      <w:tr w:rsidR="00341E50" w:rsidRPr="003140AE" w14:paraId="3F30796B" w14:textId="77777777" w:rsidTr="00410840">
        <w:trPr>
          <w:trHeight w:val="1365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EA8ED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Shibata, 2018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35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8381F5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15 participants / differences in neurocognitive function on biomechanics and neuromuscular control during an unanticipated side-step cutting motion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1D897E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Subjects with lower neurocognitive function were observed to have muscle activity patterns dominating the quadriceps</w:t>
            </w:r>
          </w:p>
        </w:tc>
      </w:tr>
      <w:tr w:rsidR="00341E50" w:rsidRPr="003140AE" w14:paraId="587BB673" w14:textId="77777777" w:rsidTr="00410840">
        <w:trPr>
          <w:trHeight w:val="1365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</w:tcPr>
          <w:p w14:paraId="41AEE51F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Gokeler, 2021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36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6D98BBA3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ACL injury mechanisms and screening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17635334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ACL injury screening should include sports specific neurocognitive demands</w:t>
            </w:r>
          </w:p>
        </w:tc>
      </w:tr>
      <w:tr w:rsidR="00341E50" w:rsidRPr="003140AE" w14:paraId="2ECEF293" w14:textId="77777777" w:rsidTr="00410840">
        <w:trPr>
          <w:trHeight w:val="1365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D133B56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Bertozzi, 2025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37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D818C1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12 participants / reliability of newly developed cognitive-motor tests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A54AB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Body movements, time constraints, and the peripheral vision may reflect sports scenarios better than traditional computerized tests</w:t>
            </w:r>
          </w:p>
        </w:tc>
      </w:tr>
      <w:tr w:rsidR="00341E50" w:rsidRPr="003140AE" w14:paraId="79BFBE71" w14:textId="77777777" w:rsidTr="00410840">
        <w:trPr>
          <w:trHeight w:val="1365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</w:tcPr>
          <w:p w14:paraId="543CABB2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Reyes, 2022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38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3693B1A4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Role of cognition in athletic performance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5B12C295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Decreased cognitive function and increased cognitive load related to task demands are associated with increased lower extremity injury risk</w:t>
            </w:r>
          </w:p>
        </w:tc>
      </w:tr>
      <w:tr w:rsidR="00341E50" w:rsidRPr="003140AE" w14:paraId="21DD9ADE" w14:textId="77777777" w:rsidTr="00410840">
        <w:trPr>
          <w:trHeight w:val="1365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9FFF8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Monfort, 2019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39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DD9DCA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15 participants / relationship between cognitive performance and knee valgus angle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B4046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Knee valgus angle has a stronger correlation with athletes’ visual-spatial memory ability than reaction time ability</w:t>
            </w:r>
          </w:p>
        </w:tc>
      </w:tr>
      <w:tr w:rsidR="00341E50" w:rsidRPr="003140AE" w14:paraId="2F61F2BE" w14:textId="77777777" w:rsidTr="00410840">
        <w:trPr>
          <w:trHeight w:val="1365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</w:tcPr>
          <w:p w14:paraId="4D8AFD88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Swanik, 2007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40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682D1DCD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80 participants / athletes who suffer a noncontact ACL injury and baseline neurocognitive performance 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25DD21AF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Differences were found in all neurocognitive subtests between NCACL-injured subjects and uninjured controls</w:t>
            </w:r>
          </w:p>
        </w:tc>
      </w:tr>
      <w:tr w:rsidR="00341E50" w:rsidRPr="003140AE" w14:paraId="3571351E" w14:textId="77777777" w:rsidTr="00410840">
        <w:trPr>
          <w:trHeight w:val="1365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A3764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Grooms, 2016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41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BE566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Neurocognition and its implications for movement control, visual-motor function, and injury susceptibility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3C4D60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Sex-specific differences in neurocognition may play a critical role in the elevated female ACL injury risk</w:t>
            </w:r>
          </w:p>
        </w:tc>
      </w:tr>
      <w:tr w:rsidR="00341E50" w:rsidRPr="003140AE" w14:paraId="53B70F26" w14:textId="77777777" w:rsidTr="00410840">
        <w:trPr>
          <w:trHeight w:val="1365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</w:tcPr>
          <w:p w14:paraId="530F8030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Grooms, 2024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42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14B5856F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Reframed 11+ program based on the latest neuroscience knowledge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12CCBE8E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11+ program has an injury reduction efficacy confirmed. </w:t>
            </w:r>
          </w:p>
        </w:tc>
      </w:tr>
      <w:tr w:rsidR="00341E50" w:rsidRPr="003140AE" w14:paraId="2247C622" w14:textId="77777777" w:rsidTr="00410840">
        <w:trPr>
          <w:trHeight w:val="1365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CFC2C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Jiménez-Martínez, 2025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43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F2F5E2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60 participants / how cognitive performance evolves in the ACL injury recovery process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CFA707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ACLr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athletes’ cognitive performance stabilizes and remains lower than athletes who did not suffer the injury</w:t>
            </w:r>
          </w:p>
        </w:tc>
      </w:tr>
    </w:tbl>
    <w:p w14:paraId="3A1F1FB8" w14:textId="51AB7903" w:rsidR="00341E50" w:rsidRPr="00341E50" w:rsidRDefault="00341E50" w:rsidP="00341E5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41E50">
        <w:rPr>
          <w:rFonts w:ascii="Times New Roman" w:hAnsi="Times New Roman" w:cs="Times New Roman"/>
          <w:sz w:val="20"/>
          <w:szCs w:val="20"/>
        </w:rPr>
        <w:t xml:space="preserve">Abbreviations: </w:t>
      </w:r>
      <w:proofErr w:type="spellStart"/>
      <w:r w:rsidRPr="00341E50">
        <w:rPr>
          <w:rFonts w:ascii="Times New Roman" w:hAnsi="Times New Roman" w:cs="Times New Roman"/>
          <w:sz w:val="20"/>
          <w:szCs w:val="20"/>
        </w:rPr>
        <w:t>ACLr</w:t>
      </w:r>
      <w:proofErr w:type="spellEnd"/>
      <w:r w:rsidRPr="00341E50">
        <w:rPr>
          <w:rFonts w:ascii="Times New Roman" w:hAnsi="Times New Roman" w:cs="Times New Roman"/>
          <w:sz w:val="20"/>
          <w:szCs w:val="20"/>
        </w:rPr>
        <w:t>, anterior cruciate ligament reconstruction; NCACL-injured, non-contact anterior cruciate ligament injured</w:t>
      </w:r>
    </w:p>
    <w:p w14:paraId="57109B27" w14:textId="7521C7FE" w:rsidR="00341E50" w:rsidRPr="00047384" w:rsidRDefault="00341E50" w:rsidP="00341E50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47384">
        <w:rPr>
          <w:rFonts w:ascii="Times New Roman" w:hAnsi="Times New Roman" w:cs="Times New Roman"/>
          <w:b/>
          <w:bCs/>
          <w:sz w:val="20"/>
          <w:szCs w:val="20"/>
        </w:rPr>
        <w:t>Table 7. Summary of included studies on Cognitive fatigue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7"/>
        <w:gridCol w:w="3179"/>
        <w:gridCol w:w="4114"/>
      </w:tblGrid>
      <w:tr w:rsidR="00341E50" w:rsidRPr="003140AE" w14:paraId="08DCA278" w14:textId="77777777" w:rsidTr="00410840">
        <w:trPr>
          <w:trHeight w:val="1080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4285F4" w:fill="4285F4"/>
            <w:vAlign w:val="center"/>
          </w:tcPr>
          <w:p w14:paraId="331D01AF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Reference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4285F4" w:fill="4285F4"/>
            <w:vAlign w:val="center"/>
            <w:hideMark/>
          </w:tcPr>
          <w:p w14:paraId="7AD65A3B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Population / Subject matter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4285F4" w:fill="4285F4"/>
            <w:vAlign w:val="center"/>
            <w:hideMark/>
          </w:tcPr>
          <w:p w14:paraId="0C508A77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Main outcomes</w:t>
            </w:r>
          </w:p>
        </w:tc>
      </w:tr>
      <w:tr w:rsidR="00341E50" w:rsidRPr="003140AE" w14:paraId="752DF4E0" w14:textId="77777777" w:rsidTr="00410840">
        <w:trPr>
          <w:trHeight w:val="1035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</w:tcPr>
          <w:p w14:paraId="135181A8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it-IT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Buckthorpe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, 2019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46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38E7B604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Explosive neuromuscular performance and the influence of Fatigue.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2C3E82D5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ACL Rehabilitation outcomes are not good enough</w:t>
            </w:r>
          </w:p>
        </w:tc>
      </w:tr>
      <w:tr w:rsidR="00341E50" w:rsidRPr="003140AE" w14:paraId="7CDFFA5D" w14:textId="77777777" w:rsidTr="00410840">
        <w:trPr>
          <w:trHeight w:val="1035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82ADC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Zheng, 2025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47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3132EE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36 participants / effects of mental fatigue on lower limb biomechanics 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BBBCA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Mental fatigue significantly affects biomechanical characteristics of the lower limbs</w:t>
            </w:r>
          </w:p>
        </w:tc>
      </w:tr>
    </w:tbl>
    <w:p w14:paraId="4990CBBE" w14:textId="77777777" w:rsidR="00341E50" w:rsidRDefault="00341E50" w:rsidP="00341E50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CA8E4DA" w14:textId="0564551C" w:rsidR="00341E50" w:rsidRPr="00153AC5" w:rsidRDefault="00341E50" w:rsidP="00341E50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153AC5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8. Summary of included studies on Cognitive fatigue and Reaction Time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7"/>
        <w:gridCol w:w="3179"/>
        <w:gridCol w:w="4114"/>
      </w:tblGrid>
      <w:tr w:rsidR="00341E50" w:rsidRPr="003140AE" w14:paraId="0F61315E" w14:textId="77777777" w:rsidTr="00410840">
        <w:trPr>
          <w:trHeight w:val="1080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4285F4" w:fill="4285F4"/>
            <w:vAlign w:val="center"/>
          </w:tcPr>
          <w:p w14:paraId="06605358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Reference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4285F4" w:fill="4285F4"/>
            <w:vAlign w:val="center"/>
            <w:hideMark/>
          </w:tcPr>
          <w:p w14:paraId="386A09C5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Population / Subject matter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4285F4" w:fill="4285F4"/>
            <w:vAlign w:val="center"/>
            <w:hideMark/>
          </w:tcPr>
          <w:p w14:paraId="5705AA40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Main outcomes</w:t>
            </w:r>
          </w:p>
        </w:tc>
      </w:tr>
      <w:tr w:rsidR="00341E50" w:rsidRPr="003140AE" w14:paraId="4829EBFD" w14:textId="77777777" w:rsidTr="00410840">
        <w:trPr>
          <w:trHeight w:val="1035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</w:tcPr>
          <w:p w14:paraId="1EAFAE01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Bertozzi, 2023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48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54B32172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22 participants / effects of a sports-specific fatigue protocol on knee mechanics 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7716FE62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Fatigue is consistently associated with changes in movement patterns</w:t>
            </w:r>
          </w:p>
        </w:tc>
      </w:tr>
      <w:tr w:rsidR="00341E50" w:rsidRPr="003140AE" w14:paraId="78EDA89C" w14:textId="77777777" w:rsidTr="00410840">
        <w:trPr>
          <w:trHeight w:val="1035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F2274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Strong, 2025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49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E971F0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80 participants / differences in cognitive motor interference between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ACLr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patients and healthy ones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4EE10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Patients after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ACLr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demonstrate greater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CMi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than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noninjured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controls </w:t>
            </w:r>
          </w:p>
        </w:tc>
      </w:tr>
    </w:tbl>
    <w:p w14:paraId="506A6FD8" w14:textId="77777777" w:rsidR="00341E50" w:rsidRPr="00341E50" w:rsidRDefault="00341E50" w:rsidP="00341E50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41E50">
        <w:rPr>
          <w:rFonts w:ascii="Times New Roman" w:hAnsi="Times New Roman" w:cs="Times New Roman"/>
          <w:sz w:val="20"/>
          <w:szCs w:val="20"/>
        </w:rPr>
        <w:t xml:space="preserve">Abbreviations: </w:t>
      </w:r>
      <w:proofErr w:type="spellStart"/>
      <w:r w:rsidRPr="00341E50">
        <w:rPr>
          <w:rFonts w:ascii="Times New Roman" w:hAnsi="Times New Roman" w:cs="Times New Roman"/>
          <w:sz w:val="20"/>
          <w:szCs w:val="20"/>
        </w:rPr>
        <w:t>ACLr</w:t>
      </w:r>
      <w:proofErr w:type="spellEnd"/>
      <w:r w:rsidRPr="00341E50">
        <w:rPr>
          <w:rFonts w:ascii="Times New Roman" w:hAnsi="Times New Roman" w:cs="Times New Roman"/>
          <w:sz w:val="20"/>
          <w:szCs w:val="20"/>
        </w:rPr>
        <w:t xml:space="preserve">, anterior cruciate ligament reconstruction; </w:t>
      </w:r>
      <w:proofErr w:type="spellStart"/>
      <w:r w:rsidRPr="00341E50">
        <w:rPr>
          <w:rFonts w:ascii="Times New Roman" w:hAnsi="Times New Roman" w:cs="Times New Roman"/>
          <w:sz w:val="20"/>
          <w:szCs w:val="20"/>
        </w:rPr>
        <w:t>CMi</w:t>
      </w:r>
      <w:proofErr w:type="spellEnd"/>
      <w:r w:rsidRPr="00341E50">
        <w:rPr>
          <w:rFonts w:ascii="Times New Roman" w:hAnsi="Times New Roman" w:cs="Times New Roman"/>
          <w:sz w:val="20"/>
          <w:szCs w:val="20"/>
        </w:rPr>
        <w:t>, cognitive-motor interference</w:t>
      </w:r>
    </w:p>
    <w:p w14:paraId="1E517F06" w14:textId="7C8B41B2" w:rsidR="00341E50" w:rsidRPr="00153AC5" w:rsidRDefault="00341E50" w:rsidP="00341E50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153AC5">
        <w:rPr>
          <w:rFonts w:ascii="Times New Roman" w:hAnsi="Times New Roman" w:cs="Times New Roman"/>
          <w:b/>
          <w:bCs/>
          <w:sz w:val="20"/>
          <w:szCs w:val="20"/>
        </w:rPr>
        <w:t>Table 9. Summary of included studies on Cognitive fatigue and Dual-task interference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7"/>
        <w:gridCol w:w="3179"/>
        <w:gridCol w:w="4114"/>
      </w:tblGrid>
      <w:tr w:rsidR="00341E50" w:rsidRPr="003140AE" w14:paraId="6A49DAAD" w14:textId="77777777" w:rsidTr="00410840">
        <w:trPr>
          <w:trHeight w:val="1080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4285F4" w:fill="4285F4"/>
            <w:vAlign w:val="center"/>
          </w:tcPr>
          <w:p w14:paraId="3782BC95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Reference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4285F4" w:fill="4285F4"/>
            <w:vAlign w:val="center"/>
            <w:hideMark/>
          </w:tcPr>
          <w:p w14:paraId="2D896AD5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Population / Subject matter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4285F4" w:fill="4285F4"/>
            <w:vAlign w:val="center"/>
            <w:hideMark/>
          </w:tcPr>
          <w:p w14:paraId="0BD44AE5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Main outcomes</w:t>
            </w:r>
          </w:p>
        </w:tc>
      </w:tr>
      <w:tr w:rsidR="00341E50" w:rsidRPr="003140AE" w14:paraId="30D1D244" w14:textId="77777777" w:rsidTr="00410840">
        <w:trPr>
          <w:trHeight w:val="1035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</w:tcPr>
          <w:p w14:paraId="2E57147D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Jiménez-Martínez, 2025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50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5DB9B9A1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Influence of manipulating cognitive demands during motor tasks on biomechanical variables associated with ACL injury risk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39133480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An increase in task complexity through cognitive load significantly leads to changes in mechanisms associated with ACL injury </w:t>
            </w:r>
          </w:p>
        </w:tc>
      </w:tr>
    </w:tbl>
    <w:p w14:paraId="30061244" w14:textId="77777777" w:rsidR="00341E50" w:rsidRDefault="00341E50" w:rsidP="00341E50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EE2CAD0" w14:textId="7A432264" w:rsidR="00341E50" w:rsidRPr="00153AC5" w:rsidRDefault="00341E50" w:rsidP="00341E50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153AC5">
        <w:rPr>
          <w:rFonts w:ascii="Times New Roman" w:hAnsi="Times New Roman" w:cs="Times New Roman"/>
          <w:b/>
          <w:bCs/>
          <w:sz w:val="20"/>
          <w:szCs w:val="20"/>
        </w:rPr>
        <w:t>Table 10. Summary of included studies on Cognitive fatigue and Visual attention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7"/>
        <w:gridCol w:w="3179"/>
        <w:gridCol w:w="4114"/>
      </w:tblGrid>
      <w:tr w:rsidR="00341E50" w:rsidRPr="003140AE" w14:paraId="3AE92FAC" w14:textId="77777777" w:rsidTr="00410840">
        <w:trPr>
          <w:trHeight w:val="1080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4285F4" w:fill="4285F4"/>
            <w:vAlign w:val="center"/>
          </w:tcPr>
          <w:p w14:paraId="4D8B5E2F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Reference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4285F4" w:fill="4285F4"/>
            <w:vAlign w:val="center"/>
            <w:hideMark/>
          </w:tcPr>
          <w:p w14:paraId="76A91BFE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Population / Subject matter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4285F4" w:fill="4285F4"/>
            <w:vAlign w:val="center"/>
            <w:hideMark/>
          </w:tcPr>
          <w:p w14:paraId="50A3E731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Main outcomes</w:t>
            </w:r>
          </w:p>
        </w:tc>
      </w:tr>
      <w:tr w:rsidR="00341E50" w:rsidRPr="003140AE" w14:paraId="5D405C50" w14:textId="77777777" w:rsidTr="00410840">
        <w:trPr>
          <w:trHeight w:val="1035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</w:tcPr>
          <w:p w14:paraId="1ED6B067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Strong, 2025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51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2D3A2DDF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80 participants / correlations between secondary cognitive tasks to drop vertical jumps and landing mechanics 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2BFE7E4F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Individuals with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ACLr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demonstrated significant differences in multiple outcomes of landing mechanics compared with uninjured controls when secondary cognitive tasks were added</w:t>
            </w:r>
          </w:p>
        </w:tc>
      </w:tr>
    </w:tbl>
    <w:p w14:paraId="09224B13" w14:textId="77777777" w:rsidR="00341E50" w:rsidRPr="00341E50" w:rsidRDefault="00341E50" w:rsidP="00341E50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41E50">
        <w:rPr>
          <w:rFonts w:ascii="Times New Roman" w:hAnsi="Times New Roman" w:cs="Times New Roman"/>
          <w:sz w:val="20"/>
          <w:szCs w:val="20"/>
        </w:rPr>
        <w:t xml:space="preserve">Abbreviations: </w:t>
      </w:r>
      <w:proofErr w:type="spellStart"/>
      <w:r w:rsidRPr="00341E50">
        <w:rPr>
          <w:rFonts w:ascii="Times New Roman" w:hAnsi="Times New Roman" w:cs="Times New Roman"/>
          <w:sz w:val="20"/>
          <w:szCs w:val="20"/>
        </w:rPr>
        <w:t>ACLr</w:t>
      </w:r>
      <w:proofErr w:type="spellEnd"/>
      <w:r w:rsidRPr="00341E50">
        <w:rPr>
          <w:rFonts w:ascii="Times New Roman" w:hAnsi="Times New Roman" w:cs="Times New Roman"/>
          <w:sz w:val="20"/>
          <w:szCs w:val="20"/>
        </w:rPr>
        <w:t>, anterior cruciate ligament reconstruction</w:t>
      </w:r>
    </w:p>
    <w:p w14:paraId="299C99A0" w14:textId="77777777" w:rsidR="00341E50" w:rsidRDefault="00341E50" w:rsidP="00341E50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EBC5E2D" w14:textId="77777777" w:rsidR="00341E50" w:rsidRDefault="00341E50" w:rsidP="00341E50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2B15F34" w14:textId="77777777" w:rsidR="00341E50" w:rsidRDefault="00341E50" w:rsidP="00341E50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E73B554" w14:textId="13B3F823" w:rsidR="00341E50" w:rsidRPr="00153AC5" w:rsidRDefault="00341E50" w:rsidP="00341E50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153AC5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11. Summary of included studies on Cognitive fatigue, Visual attention and Dual-task interference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7"/>
        <w:gridCol w:w="3179"/>
        <w:gridCol w:w="4114"/>
      </w:tblGrid>
      <w:tr w:rsidR="00341E50" w:rsidRPr="003140AE" w14:paraId="246011A4" w14:textId="77777777" w:rsidTr="00410840">
        <w:trPr>
          <w:trHeight w:val="1080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4285F4" w:fill="4285F4"/>
            <w:vAlign w:val="center"/>
          </w:tcPr>
          <w:p w14:paraId="28002837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Reference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4285F4" w:fill="4285F4"/>
            <w:vAlign w:val="center"/>
            <w:hideMark/>
          </w:tcPr>
          <w:p w14:paraId="29139183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Population / Subject matter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4285F4" w:fill="4285F4"/>
            <w:vAlign w:val="center"/>
            <w:hideMark/>
          </w:tcPr>
          <w:p w14:paraId="6EC205A9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Main outcomes</w:t>
            </w:r>
          </w:p>
        </w:tc>
      </w:tr>
      <w:tr w:rsidR="00341E50" w:rsidRPr="003140AE" w14:paraId="2C36E641" w14:textId="77777777" w:rsidTr="00410840">
        <w:trPr>
          <w:trHeight w:val="1035"/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</w:tcPr>
          <w:p w14:paraId="149193FA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Monfort, 2022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52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2FE697AB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28 participants / postural control altered following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ACLr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in the presence of sensory, motor, and cognitive challenges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7FD" w:fill="D9E7FD"/>
            <w:vAlign w:val="center"/>
            <w:hideMark/>
          </w:tcPr>
          <w:p w14:paraId="3C55374A" w14:textId="77777777" w:rsidR="00341E50" w:rsidRPr="003140AE" w:rsidRDefault="00341E50" w:rsidP="0041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Individuals following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ACLr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demonstrated altered postural control at least one year following surgery compared to uninjured controls</w:t>
            </w:r>
          </w:p>
        </w:tc>
      </w:tr>
    </w:tbl>
    <w:p w14:paraId="512C1352" w14:textId="77777777" w:rsidR="00341E50" w:rsidRPr="00341E50" w:rsidRDefault="00341E50" w:rsidP="00341E50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41E50">
        <w:rPr>
          <w:rFonts w:ascii="Times New Roman" w:hAnsi="Times New Roman" w:cs="Times New Roman"/>
          <w:sz w:val="20"/>
          <w:szCs w:val="20"/>
        </w:rPr>
        <w:t xml:space="preserve">Abbreviations: </w:t>
      </w:r>
      <w:proofErr w:type="spellStart"/>
      <w:r w:rsidRPr="00341E50">
        <w:rPr>
          <w:rFonts w:ascii="Times New Roman" w:hAnsi="Times New Roman" w:cs="Times New Roman"/>
          <w:sz w:val="20"/>
          <w:szCs w:val="20"/>
        </w:rPr>
        <w:t>ACLr</w:t>
      </w:r>
      <w:proofErr w:type="spellEnd"/>
      <w:r w:rsidRPr="00341E50">
        <w:rPr>
          <w:rFonts w:ascii="Times New Roman" w:hAnsi="Times New Roman" w:cs="Times New Roman"/>
          <w:sz w:val="20"/>
          <w:szCs w:val="20"/>
        </w:rPr>
        <w:t>, anterior cruciate ligament reconstruction</w:t>
      </w:r>
    </w:p>
    <w:p w14:paraId="42A4167A" w14:textId="77777777" w:rsidR="00341E50" w:rsidRDefault="00341E50"/>
    <w:sectPr w:rsidR="00341E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E50"/>
    <w:rsid w:val="000F04C8"/>
    <w:rsid w:val="001756E7"/>
    <w:rsid w:val="00341E50"/>
    <w:rsid w:val="00967B68"/>
    <w:rsid w:val="00D22FC2"/>
    <w:rsid w:val="00F81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F8872C"/>
  <w15:chartTrackingRefBased/>
  <w15:docId w15:val="{CDF1407B-6EE8-8B40-AAE3-FDC50764B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1E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1E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1E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1E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1E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1E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1E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1E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1E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1E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1E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1E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1E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1E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1E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1E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1E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1E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1E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1E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1E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1E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1E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1E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1E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1E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E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E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1E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1640</Words>
  <Characters>9354</Characters>
  <Application>Microsoft Office Word</Application>
  <DocSecurity>0</DocSecurity>
  <Lines>77</Lines>
  <Paragraphs>21</Paragraphs>
  <ScaleCrop>false</ScaleCrop>
  <Company/>
  <LinksUpToDate>false</LinksUpToDate>
  <CharactersWithSpaces>10973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2</cp:revision>
  <dcterms:created xsi:type="dcterms:W3CDTF">2026-10-09T17:50:00Z</dcterms:created>
  <dcterms:modified xsi:type="dcterms:W3CDTF">2026-10-09T17:56:00Z</dcterms:modified>
</cp:coreProperties>
</file>