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31A5C9" w14:textId="77777777" w:rsidR="004432A5" w:rsidRPr="00A8747B" w:rsidRDefault="004432A5" w:rsidP="004432A5">
      <w:pPr>
        <w:jc w:val="center"/>
        <w:rPr>
          <w:rFonts w:ascii="Times New Roman" w:hAnsi="Times New Roman" w:cs="Times New Roman"/>
          <w:b/>
          <w:bCs/>
        </w:rPr>
      </w:pPr>
      <w:r w:rsidRPr="00A8747B">
        <w:rPr>
          <w:rFonts w:ascii="Times New Roman" w:hAnsi="Times New Roman" w:cs="Times New Roman"/>
          <w:b/>
          <w:bCs/>
        </w:rPr>
        <w:t>APPENDIX C</w:t>
      </w:r>
    </w:p>
    <w:p w14:paraId="28B1F181" w14:textId="77777777" w:rsidR="004432A5" w:rsidRDefault="004432A5" w:rsidP="004432A5">
      <w:pPr>
        <w:jc w:val="center"/>
        <w:rPr>
          <w:rFonts w:ascii="Times New Roman" w:hAnsi="Times New Roman" w:cs="Times New Roman"/>
          <w:b/>
          <w:bCs/>
        </w:rPr>
      </w:pPr>
      <w:r w:rsidRPr="00A8747B">
        <w:rPr>
          <w:rFonts w:ascii="Times New Roman" w:hAnsi="Times New Roman" w:cs="Times New Roman"/>
          <w:b/>
          <w:bCs/>
        </w:rPr>
        <w:t>Adherence to CREDES Criteria for Delphi Study Reporting</w:t>
      </w:r>
      <w:r w:rsidRPr="00A8747B">
        <w:rPr>
          <w:rFonts w:ascii="Times New Roman" w:hAnsi="Times New Roman" w:cs="Times New Roman"/>
          <w:b/>
          <w:bCs/>
        </w:rPr>
        <w:fldChar w:fldCharType="begin"/>
      </w:r>
      <w:r>
        <w:rPr>
          <w:rFonts w:ascii="Times New Roman" w:hAnsi="Times New Roman" w:cs="Times New Roman"/>
          <w:b/>
          <w:bCs/>
        </w:rPr>
        <w:instrText xml:space="preserve"> ADDIN ZOTERO_ITEM CSL_CITATION {"citationID":"y3pnpSKc","properties":{"unsorted":false,"formattedCitation":"\\super 4\\nosupersub{}","plainCitation":"4","noteIndex":0},"citationItems":[{"id":15827,"uris":["http://zotero.org/users/6168916/items/BTQBUGDC"],"itemData":{"id":15827,"type":"article-journal","abstract":"Background:\n              The Delphi technique is widely used for the development of guidance in palliative care, having impact on decisions with relevance for patient care.\n            \n            \n              Aim:\n              To systematically examine the application of the Delphi technique for the development of best practice guidelines in palliative care.\n            \n            \n              Design:\n              A methodological systematic review was undertaken using the databases PubMed, CINAHL, Web of Science, Academic Search Complete and EMBASE.\n            \n            \n              Data sources:\n              Original articles (English language) were included when reporting on empirical studies that had used the Delphi technique to develop guidance for good clinical practice in palliative care. Data extraction included a quality appraisal on the rigour in conduct of the studies and the quality of reporting.\n            \n            \n              Results:\n              A total of 30 empirical studies (1997–2015) were considered for full-text analysis. Considerable differences were identified regarding the rigour of the design and the reporting of essential process and outcome parameters. Furthermore, discrepancies regarding the use of terms for describing the method were observed, for example, concerning the understanding of a ‘round’ or a ‘modified Delphi study’.\n            \n            \n              Conclusion:\n              Substantial variation was found concerning the quality of the study conduct and the transparency of reporting of Delphi studies used for the development of best practice guidance in palliative care. Since credibility of the resulting recommendations depends on the rigorous use of the Delphi technique, there is a need for consistency and quality both in the conduct and reporting of studies. To allow a critical appraisal of the methodology and the resulting guidance, a reporting standard for Conducting and REporting of DElphi Studies (CREDES) is proposed.","container-title":"Palliative Medicine","DOI":"10.1177/0269216317690685","ISSN":"0269-2163, 1477-030X","issue":"8","journalAbbreviation":"Palliat Med","language":"en","page":"684-706","source":"DOI.org (Crossref)","title":"Guidance on Conducting and REporting DElphi Studies (CREDES) in palliative care: Recommendations based on a methodological systematic review","title-short":"Guidance on Conducting and REporting DElphi Studies (CREDES) in palliative care","volume":"31","author":[{"family":"Jünger","given":"Saskia"},{"family":"Payne","given":"Sheila A"},{"family":"Brine","given":"Jenny"},{"family":"Radbruch","given":"Lukas"},{"family":"Brearley","given":"Sarah G"}],"issued":{"date-parts":[["2017",9]]}}}],"schema":"https://github.com/citation-style-language/schema/raw/master/csl-citation.json"} </w:instrText>
      </w:r>
      <w:r w:rsidRPr="00A8747B">
        <w:rPr>
          <w:rFonts w:ascii="Times New Roman" w:hAnsi="Times New Roman" w:cs="Times New Roman"/>
          <w:b/>
          <w:bCs/>
        </w:rPr>
        <w:fldChar w:fldCharType="separate"/>
      </w:r>
      <w:r w:rsidRPr="000B586D">
        <w:rPr>
          <w:rFonts w:ascii="Times New Roman" w:hAnsi="Times New Roman" w:cs="Times New Roman"/>
          <w:kern w:val="0"/>
          <w:vertAlign w:val="superscript"/>
        </w:rPr>
        <w:t>4</w:t>
      </w:r>
      <w:r w:rsidRPr="00A8747B">
        <w:rPr>
          <w:rFonts w:ascii="Times New Roman" w:hAnsi="Times New Roman" w:cs="Times New Roman"/>
          <w:b/>
          <w:bCs/>
        </w:rPr>
        <w:fldChar w:fldCharType="end"/>
      </w:r>
    </w:p>
    <w:p w14:paraId="4D8AA167" w14:textId="77777777" w:rsidR="004432A5" w:rsidRPr="00A8747B" w:rsidRDefault="004432A5" w:rsidP="004432A5">
      <w:pPr>
        <w:jc w:val="center"/>
        <w:rPr>
          <w:rFonts w:ascii="Times New Roman" w:hAnsi="Times New Roman" w:cs="Times New Roman"/>
          <w:b/>
          <w:bCs/>
        </w:rPr>
      </w:pPr>
    </w:p>
    <w:p w14:paraId="5A5EC774" w14:textId="77777777" w:rsidR="004432A5" w:rsidRPr="00A8747B" w:rsidRDefault="004432A5" w:rsidP="004432A5">
      <w:pPr>
        <w:rPr>
          <w:rFonts w:ascii="Times New Roman" w:hAnsi="Times New Roman" w:cs="Times New Roman"/>
          <w:b/>
          <w:bCs/>
        </w:rPr>
      </w:pPr>
      <w:r w:rsidRPr="00A8747B">
        <w:rPr>
          <w:rFonts w:ascii="Times New Roman" w:hAnsi="Times New Roman" w:cs="Times New Roman"/>
          <w:b/>
          <w:bCs/>
        </w:rPr>
        <w:t>Rationale for the choice of the Delphi Technique</w:t>
      </w:r>
    </w:p>
    <w:p w14:paraId="0116A195" w14:textId="77777777" w:rsidR="004432A5" w:rsidRPr="00A8747B" w:rsidRDefault="004432A5" w:rsidP="004432A5">
      <w:pPr>
        <w:pStyle w:val="ListParagraph"/>
        <w:numPr>
          <w:ilvl w:val="0"/>
          <w:numId w:val="1"/>
        </w:numPr>
        <w:rPr>
          <w:rFonts w:ascii="Times New Roman" w:hAnsi="Times New Roman" w:cs="Times New Roman"/>
        </w:rPr>
      </w:pPr>
      <w:r w:rsidRPr="00A8747B">
        <w:rPr>
          <w:rFonts w:ascii="Times New Roman" w:hAnsi="Times New Roman" w:cs="Times New Roman"/>
          <w:b/>
          <w:bCs/>
        </w:rPr>
        <w:t>Justification:</w:t>
      </w:r>
      <w:r w:rsidRPr="00A8747B">
        <w:rPr>
          <w:rFonts w:ascii="Times New Roman" w:hAnsi="Times New Roman" w:cs="Times New Roman"/>
        </w:rPr>
        <w:t xml:space="preserve"> Justification to use the Delphi method </w:t>
      </w:r>
      <w:proofErr w:type="gramStart"/>
      <w:r w:rsidRPr="00A8747B">
        <w:rPr>
          <w:rFonts w:ascii="Times New Roman" w:hAnsi="Times New Roman" w:cs="Times New Roman"/>
        </w:rPr>
        <w:t>is located in</w:t>
      </w:r>
      <w:proofErr w:type="gramEnd"/>
      <w:r w:rsidRPr="00A8747B">
        <w:rPr>
          <w:rFonts w:ascii="Times New Roman" w:hAnsi="Times New Roman" w:cs="Times New Roman"/>
        </w:rPr>
        <w:t xml:space="preserve"> the Introduction, noting its suitability for addressing complex clinical questions where definitive evidence is incomplete or conflicting.</w:t>
      </w:r>
    </w:p>
    <w:p w14:paraId="5C418EF1" w14:textId="77777777" w:rsidR="004432A5" w:rsidRPr="00A8747B" w:rsidRDefault="004432A5" w:rsidP="004432A5">
      <w:pPr>
        <w:rPr>
          <w:rFonts w:ascii="Times New Roman" w:hAnsi="Times New Roman" w:cs="Times New Roman"/>
          <w:b/>
          <w:bCs/>
        </w:rPr>
      </w:pPr>
      <w:r w:rsidRPr="00A8747B">
        <w:rPr>
          <w:rFonts w:ascii="Times New Roman" w:hAnsi="Times New Roman" w:cs="Times New Roman"/>
          <w:b/>
          <w:bCs/>
        </w:rPr>
        <w:t>Planning and design</w:t>
      </w:r>
    </w:p>
    <w:p w14:paraId="5A15AE22" w14:textId="77777777" w:rsidR="004432A5" w:rsidRPr="00A8747B" w:rsidRDefault="004432A5" w:rsidP="004432A5">
      <w:pPr>
        <w:pStyle w:val="ListParagraph"/>
        <w:numPr>
          <w:ilvl w:val="0"/>
          <w:numId w:val="1"/>
        </w:numPr>
        <w:rPr>
          <w:rFonts w:ascii="Times New Roman" w:hAnsi="Times New Roman" w:cs="Times New Roman"/>
        </w:rPr>
      </w:pPr>
      <w:r w:rsidRPr="00A8747B">
        <w:rPr>
          <w:rFonts w:ascii="Times New Roman" w:hAnsi="Times New Roman" w:cs="Times New Roman"/>
          <w:b/>
          <w:bCs/>
        </w:rPr>
        <w:t>Planning and process:</w:t>
      </w:r>
      <w:r w:rsidRPr="00A8747B">
        <w:rPr>
          <w:rFonts w:ascii="Times New Roman" w:hAnsi="Times New Roman" w:cs="Times New Roman"/>
        </w:rPr>
        <w:t xml:space="preserve"> The methods were planned </w:t>
      </w:r>
      <w:proofErr w:type="gramStart"/>
      <w:r w:rsidRPr="00A8747B">
        <w:rPr>
          <w:rFonts w:ascii="Times New Roman" w:hAnsi="Times New Roman" w:cs="Times New Roman"/>
        </w:rPr>
        <w:t>using</w:t>
      </w:r>
      <w:proofErr w:type="gramEnd"/>
      <w:r w:rsidRPr="00A8747B">
        <w:rPr>
          <w:rFonts w:ascii="Times New Roman" w:hAnsi="Times New Roman" w:cs="Times New Roman"/>
        </w:rPr>
        <w:t xml:space="preserve"> a Delphi approach; no modifications were necessary during the study.</w:t>
      </w:r>
    </w:p>
    <w:p w14:paraId="0CC639F4" w14:textId="77777777" w:rsidR="004432A5" w:rsidRPr="00A8747B" w:rsidRDefault="004432A5" w:rsidP="004432A5">
      <w:pPr>
        <w:pStyle w:val="ListParagraph"/>
        <w:numPr>
          <w:ilvl w:val="0"/>
          <w:numId w:val="1"/>
        </w:numPr>
        <w:rPr>
          <w:rFonts w:ascii="Times New Roman" w:hAnsi="Times New Roman" w:cs="Times New Roman"/>
        </w:rPr>
      </w:pPr>
      <w:r w:rsidRPr="00A8747B">
        <w:rPr>
          <w:rFonts w:ascii="Times New Roman" w:hAnsi="Times New Roman" w:cs="Times New Roman"/>
          <w:b/>
          <w:bCs/>
        </w:rPr>
        <w:t>Definition of Consensus:</w:t>
      </w:r>
      <w:r w:rsidRPr="00A8747B">
        <w:rPr>
          <w:rFonts w:ascii="Times New Roman" w:hAnsi="Times New Roman" w:cs="Times New Roman"/>
        </w:rPr>
        <w:t xml:space="preserve"> Consensus was defined </w:t>
      </w:r>
      <w:r w:rsidRPr="00A8747B">
        <w:rPr>
          <w:rFonts w:ascii="Times New Roman" w:hAnsi="Times New Roman" w:cs="Times New Roman"/>
          <w:i/>
          <w:iCs/>
        </w:rPr>
        <w:t>a priori</w:t>
      </w:r>
      <w:r w:rsidRPr="00A8747B">
        <w:rPr>
          <w:rFonts w:ascii="Times New Roman" w:hAnsi="Times New Roman" w:cs="Times New Roman"/>
        </w:rPr>
        <w:t xml:space="preserve"> as 80% agreement (ratings of 4 or 5 on a 5-point Likert scale) or disagreement (ratings of 1 or 2). Details were provided on progressing to the next round, and thresholds were outlined to determine when to terminate the process. Procedures were followed for items that did not reach consensus.</w:t>
      </w:r>
    </w:p>
    <w:p w14:paraId="2BA9F2D3" w14:textId="77777777" w:rsidR="004432A5" w:rsidRPr="00A8747B" w:rsidRDefault="004432A5" w:rsidP="004432A5">
      <w:pPr>
        <w:rPr>
          <w:rFonts w:ascii="Times New Roman" w:hAnsi="Times New Roman" w:cs="Times New Roman"/>
          <w:b/>
          <w:bCs/>
        </w:rPr>
      </w:pPr>
      <w:r w:rsidRPr="00A8747B">
        <w:rPr>
          <w:rFonts w:ascii="Times New Roman" w:hAnsi="Times New Roman" w:cs="Times New Roman"/>
          <w:b/>
          <w:bCs/>
        </w:rPr>
        <w:t>Study conduct</w:t>
      </w:r>
    </w:p>
    <w:p w14:paraId="31D5506F" w14:textId="77777777" w:rsidR="004432A5" w:rsidRPr="00A8747B" w:rsidRDefault="004432A5" w:rsidP="004432A5">
      <w:pPr>
        <w:pStyle w:val="ListParagraph"/>
        <w:numPr>
          <w:ilvl w:val="0"/>
          <w:numId w:val="2"/>
        </w:numPr>
        <w:rPr>
          <w:rFonts w:ascii="Times New Roman" w:hAnsi="Times New Roman" w:cs="Times New Roman"/>
        </w:rPr>
      </w:pPr>
      <w:r w:rsidRPr="00A8747B">
        <w:rPr>
          <w:rFonts w:ascii="Times New Roman" w:hAnsi="Times New Roman" w:cs="Times New Roman"/>
          <w:b/>
          <w:bCs/>
        </w:rPr>
        <w:t xml:space="preserve">Informational input. </w:t>
      </w:r>
      <w:r w:rsidRPr="00A8747B">
        <w:rPr>
          <w:rFonts w:ascii="Times New Roman" w:hAnsi="Times New Roman" w:cs="Times New Roman"/>
        </w:rPr>
        <w:t>An expert workgroup developed the initial statements. The final survey of the expert panel was reviewed and modified by the workgroup.</w:t>
      </w:r>
    </w:p>
    <w:p w14:paraId="5F7B8C9C" w14:textId="77777777" w:rsidR="004432A5" w:rsidRPr="00A8747B" w:rsidRDefault="004432A5" w:rsidP="004432A5">
      <w:pPr>
        <w:pStyle w:val="ListParagraph"/>
        <w:numPr>
          <w:ilvl w:val="0"/>
          <w:numId w:val="2"/>
        </w:numPr>
        <w:rPr>
          <w:rFonts w:ascii="Times New Roman" w:hAnsi="Times New Roman" w:cs="Times New Roman"/>
        </w:rPr>
      </w:pPr>
      <w:r w:rsidRPr="00A8747B">
        <w:rPr>
          <w:rFonts w:ascii="Times New Roman" w:hAnsi="Times New Roman" w:cs="Times New Roman"/>
          <w:b/>
          <w:bCs/>
        </w:rPr>
        <w:t>Prevention of bias.</w:t>
      </w:r>
      <w:r w:rsidRPr="00A8747B">
        <w:rPr>
          <w:rFonts w:ascii="Times New Roman" w:hAnsi="Times New Roman" w:cs="Times New Roman"/>
        </w:rPr>
        <w:t xml:space="preserve"> Participants acknowledged no conflicts of interest. An independent researcher not participating in the study managed the survey and results.</w:t>
      </w:r>
    </w:p>
    <w:p w14:paraId="21CE3828" w14:textId="77777777" w:rsidR="004432A5" w:rsidRPr="00A8747B" w:rsidRDefault="004432A5" w:rsidP="004432A5">
      <w:pPr>
        <w:pStyle w:val="ListParagraph"/>
        <w:numPr>
          <w:ilvl w:val="0"/>
          <w:numId w:val="2"/>
        </w:numPr>
        <w:rPr>
          <w:rFonts w:ascii="Times New Roman" w:hAnsi="Times New Roman" w:cs="Times New Roman"/>
        </w:rPr>
      </w:pPr>
      <w:r w:rsidRPr="00A8747B">
        <w:rPr>
          <w:rFonts w:ascii="Times New Roman" w:hAnsi="Times New Roman" w:cs="Times New Roman"/>
          <w:b/>
          <w:bCs/>
        </w:rPr>
        <w:t>Interpretation and processing of results:</w:t>
      </w:r>
      <w:r w:rsidRPr="00A8747B">
        <w:rPr>
          <w:rFonts w:ascii="Times New Roman" w:hAnsi="Times New Roman" w:cs="Times New Roman"/>
        </w:rPr>
        <w:t xml:space="preserve"> Non-consensus items were discussed, providing alternative perspectives from participants.</w:t>
      </w:r>
    </w:p>
    <w:p w14:paraId="7F4D1731" w14:textId="77777777" w:rsidR="004432A5" w:rsidRPr="00A8747B" w:rsidRDefault="004432A5" w:rsidP="004432A5">
      <w:pPr>
        <w:pStyle w:val="ListParagraph"/>
        <w:numPr>
          <w:ilvl w:val="0"/>
          <w:numId w:val="2"/>
        </w:numPr>
        <w:rPr>
          <w:rFonts w:ascii="Times New Roman" w:hAnsi="Times New Roman" w:cs="Times New Roman"/>
        </w:rPr>
      </w:pPr>
      <w:r w:rsidRPr="00A8747B">
        <w:rPr>
          <w:rFonts w:ascii="Times New Roman" w:hAnsi="Times New Roman" w:cs="Times New Roman"/>
          <w:b/>
          <w:bCs/>
        </w:rPr>
        <w:t>External Validation:</w:t>
      </w:r>
      <w:r w:rsidRPr="00A8747B">
        <w:rPr>
          <w:rFonts w:ascii="Times New Roman" w:hAnsi="Times New Roman" w:cs="Times New Roman"/>
        </w:rPr>
        <w:t xml:space="preserve"> The final draft was offered for review to the entire ICCUS Society membership, including members who did not participate in the survey.</w:t>
      </w:r>
    </w:p>
    <w:p w14:paraId="4B7FA9A3" w14:textId="77777777" w:rsidR="004432A5" w:rsidRPr="00A8747B" w:rsidRDefault="004432A5" w:rsidP="004432A5">
      <w:pPr>
        <w:rPr>
          <w:rFonts w:ascii="Times New Roman" w:hAnsi="Times New Roman" w:cs="Times New Roman"/>
          <w:b/>
          <w:bCs/>
        </w:rPr>
      </w:pPr>
      <w:r w:rsidRPr="00A8747B">
        <w:rPr>
          <w:rFonts w:ascii="Times New Roman" w:hAnsi="Times New Roman" w:cs="Times New Roman"/>
          <w:b/>
          <w:bCs/>
        </w:rPr>
        <w:t>Reporting</w:t>
      </w:r>
    </w:p>
    <w:p w14:paraId="7B9BAF33" w14:textId="77777777" w:rsidR="004432A5" w:rsidRPr="00A8747B" w:rsidRDefault="004432A5" w:rsidP="004432A5">
      <w:pPr>
        <w:pStyle w:val="ListParagraph"/>
        <w:numPr>
          <w:ilvl w:val="0"/>
          <w:numId w:val="3"/>
        </w:numPr>
        <w:rPr>
          <w:rFonts w:ascii="Times New Roman" w:hAnsi="Times New Roman" w:cs="Times New Roman"/>
        </w:rPr>
      </w:pPr>
      <w:r w:rsidRPr="00A8747B">
        <w:rPr>
          <w:rFonts w:ascii="Times New Roman" w:hAnsi="Times New Roman" w:cs="Times New Roman"/>
          <w:b/>
          <w:bCs/>
        </w:rPr>
        <w:t xml:space="preserve">Purpose and rationale: </w:t>
      </w:r>
      <w:r w:rsidRPr="00A8747B">
        <w:rPr>
          <w:rFonts w:ascii="Times New Roman" w:hAnsi="Times New Roman" w:cs="Times New Roman"/>
        </w:rPr>
        <w:t>The purpose of this report was clearly stated in the Introduction, with a rationale for its use in determining expert consensus with a scientific approach.</w:t>
      </w:r>
    </w:p>
    <w:p w14:paraId="1E9D2154" w14:textId="77777777" w:rsidR="004432A5" w:rsidRPr="00A8747B" w:rsidRDefault="004432A5" w:rsidP="004432A5">
      <w:pPr>
        <w:pStyle w:val="ListParagraph"/>
        <w:numPr>
          <w:ilvl w:val="0"/>
          <w:numId w:val="3"/>
        </w:numPr>
        <w:rPr>
          <w:rFonts w:ascii="Times New Roman" w:hAnsi="Times New Roman" w:cs="Times New Roman"/>
        </w:rPr>
      </w:pPr>
      <w:r w:rsidRPr="00A8747B">
        <w:rPr>
          <w:rFonts w:ascii="Times New Roman" w:hAnsi="Times New Roman" w:cs="Times New Roman"/>
          <w:b/>
          <w:bCs/>
        </w:rPr>
        <w:t>Expert panel: T</w:t>
      </w:r>
      <w:r w:rsidRPr="00A8747B">
        <w:rPr>
          <w:rFonts w:ascii="Times New Roman" w:hAnsi="Times New Roman" w:cs="Times New Roman"/>
        </w:rPr>
        <w:t>he study specifies clear eligibility requirements: participants must be licensed sports medicine practitioners with at least 10 years of clinical practice and regular experience treating both primary and recurrent AHSI in competitive athletic settings. Response rates were provided in results. 17 expert participants who met the inclusion criteria for the third round. Participant demographics are detailed in Table 1, including gender, years of experience, and primary work settings.</w:t>
      </w:r>
    </w:p>
    <w:p w14:paraId="0D145947" w14:textId="77777777" w:rsidR="004432A5" w:rsidRPr="00A8747B" w:rsidRDefault="004432A5" w:rsidP="004432A5">
      <w:pPr>
        <w:pStyle w:val="ListParagraph"/>
        <w:numPr>
          <w:ilvl w:val="0"/>
          <w:numId w:val="3"/>
        </w:numPr>
        <w:rPr>
          <w:rFonts w:ascii="Times New Roman" w:hAnsi="Times New Roman" w:cs="Times New Roman"/>
        </w:rPr>
      </w:pPr>
      <w:r w:rsidRPr="00A8747B">
        <w:rPr>
          <w:rFonts w:ascii="Times New Roman" w:hAnsi="Times New Roman" w:cs="Times New Roman"/>
          <w:b/>
          <w:bCs/>
        </w:rPr>
        <w:t xml:space="preserve">Description of the methods: </w:t>
      </w:r>
      <w:r w:rsidRPr="00A8747B">
        <w:rPr>
          <w:rFonts w:ascii="Times New Roman" w:hAnsi="Times New Roman" w:cs="Times New Roman"/>
        </w:rPr>
        <w:t xml:space="preserve">The methods clearly describe the steps in the Delphi process that included the design of the survey, data analysis, and processing responses. </w:t>
      </w:r>
      <w:proofErr w:type="spellStart"/>
      <w:r w:rsidRPr="00A8747B">
        <w:rPr>
          <w:rFonts w:ascii="Times New Roman" w:hAnsi="Times New Roman" w:cs="Times New Roman"/>
        </w:rPr>
        <w:t>REDCap</w:t>
      </w:r>
      <w:proofErr w:type="spellEnd"/>
      <w:r w:rsidRPr="00A8747B">
        <w:rPr>
          <w:rFonts w:ascii="Times New Roman" w:hAnsi="Times New Roman" w:cs="Times New Roman"/>
        </w:rPr>
        <w:t xml:space="preserve"> was used as the survey instrument, as provided in Appendix B. Participants </w:t>
      </w:r>
      <w:r w:rsidRPr="00A8747B">
        <w:rPr>
          <w:rFonts w:ascii="Times New Roman" w:hAnsi="Times New Roman" w:cs="Times New Roman"/>
        </w:rPr>
        <w:lastRenderedPageBreak/>
        <w:t>were provided with explanations for any changes made to statements between rounds, including the rationale for modifications based on previous feedback.</w:t>
      </w:r>
    </w:p>
    <w:p w14:paraId="60B1B063" w14:textId="77777777" w:rsidR="004432A5" w:rsidRPr="00A8747B" w:rsidRDefault="004432A5" w:rsidP="004432A5">
      <w:pPr>
        <w:pStyle w:val="ListParagraph"/>
        <w:numPr>
          <w:ilvl w:val="0"/>
          <w:numId w:val="3"/>
        </w:numPr>
        <w:rPr>
          <w:rFonts w:ascii="Times New Roman" w:hAnsi="Times New Roman" w:cs="Times New Roman"/>
        </w:rPr>
      </w:pPr>
      <w:r w:rsidRPr="00A8747B">
        <w:rPr>
          <w:rFonts w:ascii="Times New Roman" w:hAnsi="Times New Roman" w:cs="Times New Roman"/>
          <w:b/>
          <w:bCs/>
        </w:rPr>
        <w:t xml:space="preserve">Procedure: </w:t>
      </w:r>
      <w:r w:rsidRPr="00A8747B">
        <w:rPr>
          <w:rFonts w:ascii="Times New Roman" w:hAnsi="Times New Roman" w:cs="Times New Roman"/>
        </w:rPr>
        <w:t>The process included a preparatory phase and three distinct rounds. The flowchart in Appendix A delineates the stages of the process, including preparation, the rounds, and data processing and analysis. The methodology details how demographic data were collected, how Likert scores were averaged, and confirms that "no experience" responses were excluded from the final analysis.</w:t>
      </w:r>
    </w:p>
    <w:p w14:paraId="1BC8BDA1" w14:textId="77777777" w:rsidR="004432A5" w:rsidRPr="00A8747B" w:rsidRDefault="004432A5" w:rsidP="004432A5">
      <w:pPr>
        <w:pStyle w:val="ListParagraph"/>
        <w:numPr>
          <w:ilvl w:val="0"/>
          <w:numId w:val="3"/>
        </w:numPr>
        <w:rPr>
          <w:rFonts w:ascii="Times New Roman" w:hAnsi="Times New Roman" w:cs="Times New Roman"/>
        </w:rPr>
      </w:pPr>
      <w:r w:rsidRPr="00A8747B">
        <w:rPr>
          <w:rFonts w:ascii="Times New Roman" w:hAnsi="Times New Roman" w:cs="Times New Roman"/>
          <w:b/>
          <w:bCs/>
        </w:rPr>
        <w:t>Definition of attainment of consensus:</w:t>
      </w:r>
      <w:r w:rsidRPr="00A8747B">
        <w:rPr>
          <w:rFonts w:ascii="Times New Roman" w:hAnsi="Times New Roman" w:cs="Times New Roman"/>
        </w:rPr>
        <w:t xml:space="preserve"> The consensus level was determined </w:t>
      </w:r>
      <w:r w:rsidRPr="00A8747B">
        <w:rPr>
          <w:rFonts w:ascii="Times New Roman" w:hAnsi="Times New Roman" w:cs="Times New Roman"/>
          <w:i/>
          <w:iCs/>
        </w:rPr>
        <w:t>a priori</w:t>
      </w:r>
      <w:r w:rsidRPr="00A8747B">
        <w:rPr>
          <w:rFonts w:ascii="Times New Roman" w:hAnsi="Times New Roman" w:cs="Times New Roman"/>
        </w:rPr>
        <w:t xml:space="preserve"> at 80%. Items that did not meet the 80% threshold were removed from subsequent rounds. The survey ended after Round 3 when the Workgroup chose not to revise the remaining six non-consensus items. A dedicated section (Table 4) identifies the six items that failed to reach the 80% threshold and includes a qualitative summary of rater comments explaining the lack of agreement.</w:t>
      </w:r>
    </w:p>
    <w:p w14:paraId="7F1F8008" w14:textId="77777777" w:rsidR="004432A5" w:rsidRPr="00A8747B" w:rsidRDefault="004432A5" w:rsidP="004432A5">
      <w:pPr>
        <w:pStyle w:val="ListParagraph"/>
        <w:numPr>
          <w:ilvl w:val="0"/>
          <w:numId w:val="3"/>
        </w:numPr>
        <w:rPr>
          <w:rFonts w:ascii="Times New Roman" w:hAnsi="Times New Roman" w:cs="Times New Roman"/>
        </w:rPr>
      </w:pPr>
      <w:r w:rsidRPr="00A8747B">
        <w:rPr>
          <w:rFonts w:ascii="Times New Roman" w:hAnsi="Times New Roman" w:cs="Times New Roman"/>
          <w:b/>
          <w:bCs/>
        </w:rPr>
        <w:t xml:space="preserve">Results: </w:t>
      </w:r>
      <w:r w:rsidRPr="00A8747B">
        <w:rPr>
          <w:rFonts w:ascii="Times New Roman" w:hAnsi="Times New Roman" w:cs="Times New Roman"/>
        </w:rPr>
        <w:t>The outcomes for each stage are provided, noting that Round 2 yielded 60 statements, all achieving &gt;80% consensus before advancing to the larger membership in Round 3, where 6 statements did not reach consensus. The participation flow was tracked: Round 1 (9 Workgroup members), Round 2 (9 Workgroup members), and Round 3 (17 general ICCUS members). Table 2 provides a comprehensive breakdown of each statement along with its Average Likert score and Agreement Percentage.</w:t>
      </w:r>
    </w:p>
    <w:p w14:paraId="767FBC19" w14:textId="77777777" w:rsidR="004432A5" w:rsidRPr="00A8747B" w:rsidRDefault="004432A5" w:rsidP="004432A5">
      <w:pPr>
        <w:pStyle w:val="ListParagraph"/>
        <w:numPr>
          <w:ilvl w:val="0"/>
          <w:numId w:val="3"/>
        </w:numPr>
        <w:rPr>
          <w:rFonts w:ascii="Times New Roman" w:hAnsi="Times New Roman" w:cs="Times New Roman"/>
        </w:rPr>
      </w:pPr>
      <w:r w:rsidRPr="00A8747B">
        <w:rPr>
          <w:rFonts w:ascii="Times New Roman" w:hAnsi="Times New Roman" w:cs="Times New Roman"/>
          <w:b/>
          <w:bCs/>
        </w:rPr>
        <w:t xml:space="preserve">Discussion of limitations: </w:t>
      </w:r>
      <w:r w:rsidRPr="00A8747B">
        <w:rPr>
          <w:rFonts w:ascii="Times New Roman" w:hAnsi="Times New Roman" w:cs="Times New Roman"/>
        </w:rPr>
        <w:t>Limitations are provided in the discussion section with recommendations for further research.</w:t>
      </w:r>
    </w:p>
    <w:p w14:paraId="1D5FFB67" w14:textId="77777777" w:rsidR="004432A5" w:rsidRPr="00A8747B" w:rsidRDefault="004432A5" w:rsidP="004432A5">
      <w:pPr>
        <w:pStyle w:val="ListParagraph"/>
        <w:numPr>
          <w:ilvl w:val="0"/>
          <w:numId w:val="3"/>
        </w:numPr>
        <w:rPr>
          <w:rFonts w:ascii="Times New Roman" w:hAnsi="Times New Roman" w:cs="Times New Roman"/>
        </w:rPr>
      </w:pPr>
      <w:r w:rsidRPr="00A8747B">
        <w:rPr>
          <w:rFonts w:ascii="Times New Roman" w:hAnsi="Times New Roman" w:cs="Times New Roman"/>
          <w:b/>
          <w:bCs/>
        </w:rPr>
        <w:t>Adequacy of conclusions:</w:t>
      </w:r>
      <w:r w:rsidRPr="00A8747B">
        <w:rPr>
          <w:rFonts w:ascii="Times New Roman" w:hAnsi="Times New Roman" w:cs="Times New Roman"/>
        </w:rPr>
        <w:t xml:space="preserve"> The conclusions reflected the outcomes of the study with clinical implications</w:t>
      </w:r>
    </w:p>
    <w:p w14:paraId="063C5CB0" w14:textId="77777777" w:rsidR="004432A5" w:rsidRPr="00A8747B" w:rsidRDefault="004432A5" w:rsidP="004432A5">
      <w:pPr>
        <w:pStyle w:val="ListParagraph"/>
        <w:numPr>
          <w:ilvl w:val="0"/>
          <w:numId w:val="3"/>
        </w:numPr>
        <w:rPr>
          <w:rFonts w:ascii="Times New Roman" w:hAnsi="Times New Roman" w:cs="Times New Roman"/>
        </w:rPr>
      </w:pPr>
      <w:r w:rsidRPr="00A8747B">
        <w:rPr>
          <w:rFonts w:ascii="Times New Roman" w:hAnsi="Times New Roman" w:cs="Times New Roman"/>
          <w:b/>
          <w:bCs/>
        </w:rPr>
        <w:t>Publication and dissemination:</w:t>
      </w:r>
      <w:r w:rsidRPr="00A8747B">
        <w:rPr>
          <w:rFonts w:ascii="Times New Roman" w:hAnsi="Times New Roman" w:cs="Times New Roman"/>
        </w:rPr>
        <w:t xml:space="preserve"> Dissemination will include publication in a sports physical therapy peer-reviewed journal as well as state and national level professional meetings.</w:t>
      </w:r>
    </w:p>
    <w:p w14:paraId="6E344539" w14:textId="77777777" w:rsidR="00D22FC2" w:rsidRDefault="00D22FC2"/>
    <w:sectPr w:rsidR="00D22FC2" w:rsidSect="004432A5">
      <w:headerReference w:type="even" r:id="rId5"/>
      <w:headerReference w:type="default" r:id="rId6"/>
      <w:footerReference w:type="even" r:id="rId7"/>
      <w:footerReference w:type="default" r:id="rId8"/>
      <w:headerReference w:type="first" r:id="rId9"/>
      <w:footerReference w:type="first" r:id="rId10"/>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839488" w14:textId="77777777" w:rsidR="004432A5" w:rsidRDefault="004432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314992946"/>
      <w:docPartObj>
        <w:docPartGallery w:val="Page Numbers (Bottom of Page)"/>
        <w:docPartUnique/>
      </w:docPartObj>
    </w:sdtPr>
    <w:sdtEndPr>
      <w:rPr>
        <w:noProof/>
      </w:rPr>
    </w:sdtEndPr>
    <w:sdtContent>
      <w:p w14:paraId="5279D531" w14:textId="77777777" w:rsidR="004432A5" w:rsidRDefault="004432A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6F4A034" w14:textId="77777777" w:rsidR="004432A5" w:rsidRDefault="004432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384861" w14:textId="77777777" w:rsidR="004432A5" w:rsidRDefault="004432A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BC7D3D" w14:textId="77777777" w:rsidR="004432A5" w:rsidRDefault="004432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01DA46" w14:textId="77777777" w:rsidR="004432A5" w:rsidRDefault="004432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43A1DA" w14:textId="77777777" w:rsidR="004432A5" w:rsidRDefault="004432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7091B37"/>
    <w:multiLevelType w:val="hybridMultilevel"/>
    <w:tmpl w:val="9848A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CF679A5"/>
    <w:multiLevelType w:val="hybridMultilevel"/>
    <w:tmpl w:val="52309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40531A7"/>
    <w:multiLevelType w:val="hybridMultilevel"/>
    <w:tmpl w:val="24F8B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26241454">
    <w:abstractNumId w:val="0"/>
  </w:num>
  <w:num w:numId="2" w16cid:durableId="1127511844">
    <w:abstractNumId w:val="2"/>
  </w:num>
  <w:num w:numId="3" w16cid:durableId="130065076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2A5"/>
    <w:rsid w:val="001756E7"/>
    <w:rsid w:val="004432A5"/>
    <w:rsid w:val="00967B68"/>
    <w:rsid w:val="00D22FC2"/>
    <w:rsid w:val="00F815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343A5DB"/>
  <w15:chartTrackingRefBased/>
  <w15:docId w15:val="{122617BE-51D8-9742-9571-B65DB6CBF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32A5"/>
  </w:style>
  <w:style w:type="paragraph" w:styleId="Heading1">
    <w:name w:val="heading 1"/>
    <w:basedOn w:val="Normal"/>
    <w:next w:val="Normal"/>
    <w:link w:val="Heading1Char"/>
    <w:uiPriority w:val="9"/>
    <w:qFormat/>
    <w:rsid w:val="004432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32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32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32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32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32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32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32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32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32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32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32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32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32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32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32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32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32A5"/>
    <w:rPr>
      <w:rFonts w:eastAsiaTheme="majorEastAsia" w:cstheme="majorBidi"/>
      <w:color w:val="272727" w:themeColor="text1" w:themeTint="D8"/>
    </w:rPr>
  </w:style>
  <w:style w:type="paragraph" w:styleId="Title">
    <w:name w:val="Title"/>
    <w:basedOn w:val="Normal"/>
    <w:next w:val="Normal"/>
    <w:link w:val="TitleChar"/>
    <w:uiPriority w:val="10"/>
    <w:qFormat/>
    <w:rsid w:val="004432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32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32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32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32A5"/>
    <w:pPr>
      <w:spacing w:before="160"/>
      <w:jc w:val="center"/>
    </w:pPr>
    <w:rPr>
      <w:i/>
      <w:iCs/>
      <w:color w:val="404040" w:themeColor="text1" w:themeTint="BF"/>
    </w:rPr>
  </w:style>
  <w:style w:type="character" w:customStyle="1" w:styleId="QuoteChar">
    <w:name w:val="Quote Char"/>
    <w:basedOn w:val="DefaultParagraphFont"/>
    <w:link w:val="Quote"/>
    <w:uiPriority w:val="29"/>
    <w:rsid w:val="004432A5"/>
    <w:rPr>
      <w:i/>
      <w:iCs/>
      <w:color w:val="404040" w:themeColor="text1" w:themeTint="BF"/>
    </w:rPr>
  </w:style>
  <w:style w:type="paragraph" w:styleId="ListParagraph">
    <w:name w:val="List Paragraph"/>
    <w:basedOn w:val="Normal"/>
    <w:uiPriority w:val="34"/>
    <w:qFormat/>
    <w:rsid w:val="004432A5"/>
    <w:pPr>
      <w:ind w:left="720"/>
      <w:contextualSpacing/>
    </w:pPr>
  </w:style>
  <w:style w:type="character" w:styleId="IntenseEmphasis">
    <w:name w:val="Intense Emphasis"/>
    <w:basedOn w:val="DefaultParagraphFont"/>
    <w:uiPriority w:val="21"/>
    <w:qFormat/>
    <w:rsid w:val="004432A5"/>
    <w:rPr>
      <w:i/>
      <w:iCs/>
      <w:color w:val="0F4761" w:themeColor="accent1" w:themeShade="BF"/>
    </w:rPr>
  </w:style>
  <w:style w:type="paragraph" w:styleId="IntenseQuote">
    <w:name w:val="Intense Quote"/>
    <w:basedOn w:val="Normal"/>
    <w:next w:val="Normal"/>
    <w:link w:val="IntenseQuoteChar"/>
    <w:uiPriority w:val="30"/>
    <w:qFormat/>
    <w:rsid w:val="004432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32A5"/>
    <w:rPr>
      <w:i/>
      <w:iCs/>
      <w:color w:val="0F4761" w:themeColor="accent1" w:themeShade="BF"/>
    </w:rPr>
  </w:style>
  <w:style w:type="character" w:styleId="IntenseReference">
    <w:name w:val="Intense Reference"/>
    <w:basedOn w:val="DefaultParagraphFont"/>
    <w:uiPriority w:val="32"/>
    <w:qFormat/>
    <w:rsid w:val="004432A5"/>
    <w:rPr>
      <w:b/>
      <w:bCs/>
      <w:smallCaps/>
      <w:color w:val="0F4761" w:themeColor="accent1" w:themeShade="BF"/>
      <w:spacing w:val="5"/>
    </w:rPr>
  </w:style>
  <w:style w:type="paragraph" w:styleId="Header">
    <w:name w:val="header"/>
    <w:basedOn w:val="Normal"/>
    <w:link w:val="HeaderChar"/>
    <w:uiPriority w:val="99"/>
    <w:unhideWhenUsed/>
    <w:rsid w:val="004432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32A5"/>
  </w:style>
  <w:style w:type="paragraph" w:styleId="Footer">
    <w:name w:val="footer"/>
    <w:basedOn w:val="Normal"/>
    <w:link w:val="FooterChar"/>
    <w:uiPriority w:val="99"/>
    <w:unhideWhenUsed/>
    <w:rsid w:val="004432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32A5"/>
  </w:style>
  <w:style w:type="character" w:styleId="LineNumber">
    <w:name w:val="line number"/>
    <w:basedOn w:val="DefaultParagraphFont"/>
    <w:uiPriority w:val="99"/>
    <w:semiHidden/>
    <w:unhideWhenUsed/>
    <w:rsid w:val="004432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1111</Words>
  <Characters>6337</Characters>
  <Application>Microsoft Office Word</Application>
  <DocSecurity>0</DocSecurity>
  <Lines>52</Lines>
  <Paragraphs>14</Paragraphs>
  <ScaleCrop>false</ScaleCrop>
  <Company/>
  <LinksUpToDate>false</LinksUpToDate>
  <CharactersWithSpaces>7434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Reviewer</cp:lastModifiedBy>
  <cp:revision>1</cp:revision>
  <dcterms:created xsi:type="dcterms:W3CDTF">2026-10-20T13:59:00Z</dcterms:created>
  <dcterms:modified xsi:type="dcterms:W3CDTF">2026-10-20T14:00:00Z</dcterms:modified>
</cp:coreProperties>
</file>